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D89" w:rsidRDefault="00FA4D89" w:rsidP="00B0555B">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Cs w:val="24"/>
        </w:rPr>
      </w:pPr>
    </w:p>
    <w:p w:rsidR="00B0555B" w:rsidRDefault="00B0555B" w:rsidP="00B0555B">
      <w:pPr>
        <w:pStyle w:val="Zkladntext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Cs w:val="24"/>
        </w:rPr>
      </w:pPr>
      <w:r>
        <w:rPr>
          <w:rFonts w:ascii="Arial" w:hAnsi="Arial"/>
          <w:b/>
          <w:szCs w:val="24"/>
        </w:rPr>
        <w:t>Návrh smlouvy o dílo č.</w:t>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B0555B" w:rsidRDefault="00B0555B" w:rsidP="00B0555B">
      <w:pPr>
        <w:autoSpaceDE w:val="0"/>
        <w:autoSpaceDN w:val="0"/>
        <w:adjustRightInd w:val="0"/>
        <w:jc w:val="both"/>
        <w:rPr>
          <w:color w:val="000000"/>
        </w:rPr>
      </w:pPr>
      <w:r>
        <w:rPr>
          <w:b/>
          <w:bCs/>
          <w:color w:val="000000"/>
        </w:rPr>
        <w:t>Objednatel:</w:t>
      </w:r>
      <w:r w:rsidR="00FA4D89">
        <w:rPr>
          <w:b/>
          <w:bCs/>
          <w:color w:val="000000"/>
        </w:rPr>
        <w:tab/>
      </w:r>
      <w:r>
        <w:rPr>
          <w:b/>
          <w:bCs/>
          <w:color w:val="000000"/>
        </w:rPr>
        <w:t>Správa Krkonošského národního parku</w:t>
      </w:r>
      <w:r>
        <w:rPr>
          <w:color w:val="000000"/>
        </w:rPr>
        <w:tab/>
      </w:r>
      <w:r>
        <w:rPr>
          <w:color w:val="000000"/>
        </w:rPr>
        <w:tab/>
      </w:r>
    </w:p>
    <w:p w:rsidR="00B0555B" w:rsidRDefault="00B0555B" w:rsidP="00B0555B">
      <w:pPr>
        <w:autoSpaceDE w:val="0"/>
        <w:autoSpaceDN w:val="0"/>
        <w:adjustRightInd w:val="0"/>
        <w:jc w:val="both"/>
        <w:rPr>
          <w:color w:val="000000"/>
        </w:rPr>
      </w:pPr>
      <w:r>
        <w:rPr>
          <w:color w:val="000000"/>
        </w:rPr>
        <w:t>se sídlem:</w:t>
      </w:r>
      <w:r>
        <w:rPr>
          <w:color w:val="000000"/>
        </w:rPr>
        <w:tab/>
      </w:r>
      <w:proofErr w:type="gramStart"/>
      <w:r>
        <w:rPr>
          <w:b/>
          <w:bCs/>
          <w:color w:val="000000"/>
        </w:rPr>
        <w:t>Dobrovského 3,  Vrchlabí</w:t>
      </w:r>
      <w:proofErr w:type="gramEnd"/>
      <w:r>
        <w:rPr>
          <w:b/>
          <w:bCs/>
          <w:color w:val="000000"/>
        </w:rPr>
        <w:t xml:space="preserve">  543 01</w:t>
      </w:r>
      <w:r>
        <w:rPr>
          <w:b/>
          <w:bCs/>
          <w:color w:val="000000"/>
        </w:rPr>
        <w:tab/>
      </w:r>
      <w:r>
        <w:rPr>
          <w:color w:val="000000"/>
        </w:rPr>
        <w:tab/>
      </w:r>
      <w:r>
        <w:rPr>
          <w:color w:val="000000"/>
        </w:rPr>
        <w:tab/>
      </w:r>
    </w:p>
    <w:p w:rsidR="00FA4D89" w:rsidRDefault="00B0555B" w:rsidP="00B0555B">
      <w:pPr>
        <w:autoSpaceDE w:val="0"/>
        <w:autoSpaceDN w:val="0"/>
        <w:adjustRightInd w:val="0"/>
        <w:jc w:val="both"/>
        <w:rPr>
          <w:color w:val="000000"/>
        </w:rPr>
      </w:pPr>
      <w:r>
        <w:rPr>
          <w:color w:val="000000"/>
        </w:rPr>
        <w:t>IČO:</w:t>
      </w:r>
      <w:r w:rsidR="00FA4D89">
        <w:rPr>
          <w:color w:val="000000"/>
        </w:rPr>
        <w:tab/>
      </w:r>
      <w:r w:rsidR="00FA4D89">
        <w:rPr>
          <w:color w:val="000000"/>
        </w:rPr>
        <w:tab/>
        <w:t>0</w:t>
      </w:r>
      <w:r>
        <w:rPr>
          <w:b/>
          <w:bCs/>
          <w:color w:val="000000"/>
        </w:rPr>
        <w:t>0088455</w:t>
      </w:r>
      <w:r>
        <w:rPr>
          <w:color w:val="000000"/>
        </w:rPr>
        <w:tab/>
      </w:r>
      <w:r>
        <w:rPr>
          <w:color w:val="000000"/>
        </w:rPr>
        <w:tab/>
      </w:r>
      <w:r>
        <w:rPr>
          <w:color w:val="000000"/>
        </w:rPr>
        <w:tab/>
      </w:r>
      <w:r>
        <w:rPr>
          <w:color w:val="000000"/>
        </w:rPr>
        <w:tab/>
      </w:r>
      <w:r>
        <w:rPr>
          <w:color w:val="000000"/>
        </w:rPr>
        <w:tab/>
      </w:r>
      <w:r>
        <w:rPr>
          <w:color w:val="000000"/>
        </w:rPr>
        <w:tab/>
      </w:r>
    </w:p>
    <w:p w:rsidR="00B0555B" w:rsidRDefault="00B0555B" w:rsidP="00B0555B">
      <w:pPr>
        <w:autoSpaceDE w:val="0"/>
        <w:autoSpaceDN w:val="0"/>
        <w:adjustRightInd w:val="0"/>
        <w:jc w:val="both"/>
        <w:rPr>
          <w:b/>
          <w:bCs/>
          <w:color w:val="000000"/>
        </w:rPr>
      </w:pPr>
      <w:r>
        <w:rPr>
          <w:color w:val="000000"/>
        </w:rPr>
        <w:t>DIČ:</w:t>
      </w:r>
      <w:r w:rsidR="00FA4D89">
        <w:rPr>
          <w:color w:val="000000"/>
        </w:rPr>
        <w:tab/>
      </w:r>
      <w:r w:rsidR="00FA4D89">
        <w:rPr>
          <w:color w:val="000000"/>
        </w:rPr>
        <w:tab/>
      </w:r>
      <w:r>
        <w:rPr>
          <w:b/>
          <w:color w:val="000000"/>
        </w:rPr>
        <w:t>C</w:t>
      </w:r>
      <w:r>
        <w:rPr>
          <w:b/>
          <w:bCs/>
          <w:color w:val="000000"/>
        </w:rPr>
        <w:t>Z00088455</w:t>
      </w:r>
    </w:p>
    <w:p w:rsidR="00B0555B" w:rsidRDefault="00B0555B" w:rsidP="00B0555B">
      <w:pPr>
        <w:autoSpaceDE w:val="0"/>
        <w:autoSpaceDN w:val="0"/>
        <w:adjustRightInd w:val="0"/>
        <w:jc w:val="both"/>
        <w:rPr>
          <w:color w:val="000000"/>
        </w:rPr>
      </w:pPr>
      <w:r>
        <w:rPr>
          <w:bCs/>
          <w:color w:val="000000"/>
        </w:rPr>
        <w:t>bankovní spojení:</w:t>
      </w:r>
      <w:r w:rsidR="00FA4D89">
        <w:rPr>
          <w:bCs/>
          <w:color w:val="000000"/>
        </w:rPr>
        <w:tab/>
      </w:r>
      <w:r w:rsidR="00FA4D89">
        <w:rPr>
          <w:bCs/>
          <w:color w:val="000000"/>
        </w:rPr>
        <w:tab/>
      </w:r>
      <w:r w:rsidR="00C273F4" w:rsidRPr="00C273F4">
        <w:rPr>
          <w:b/>
          <w:bCs/>
          <w:color w:val="000000"/>
        </w:rPr>
        <w:t xml:space="preserve">ČNB, </w:t>
      </w:r>
      <w:proofErr w:type="spellStart"/>
      <w:proofErr w:type="gramStart"/>
      <w:r w:rsidR="00C273F4" w:rsidRPr="00C273F4">
        <w:rPr>
          <w:b/>
          <w:bCs/>
          <w:color w:val="000000"/>
        </w:rPr>
        <w:t>č.ú</w:t>
      </w:r>
      <w:proofErr w:type="spellEnd"/>
      <w:r w:rsidR="00C273F4" w:rsidRPr="00C273F4">
        <w:rPr>
          <w:b/>
          <w:bCs/>
          <w:color w:val="000000"/>
        </w:rPr>
        <w:t>.:</w:t>
      </w:r>
      <w:r w:rsidR="00FA4D89">
        <w:rPr>
          <w:b/>
          <w:bCs/>
          <w:color w:val="000000"/>
        </w:rPr>
        <w:t xml:space="preserve"> </w:t>
      </w:r>
      <w:r w:rsidR="00C273F4">
        <w:rPr>
          <w:b/>
          <w:bCs/>
          <w:color w:val="000000"/>
        </w:rPr>
        <w:t>5830601/0710</w:t>
      </w:r>
      <w:proofErr w:type="gramEnd"/>
      <w:r>
        <w:rPr>
          <w:color w:val="000000"/>
        </w:rPr>
        <w:tab/>
      </w:r>
      <w:r>
        <w:rPr>
          <w:color w:val="000000"/>
        </w:rPr>
        <w:tab/>
      </w:r>
      <w:r>
        <w:rPr>
          <w:color w:val="000000"/>
        </w:rPr>
        <w:tab/>
      </w:r>
    </w:p>
    <w:p w:rsidR="00B0555B" w:rsidRDefault="00B0555B" w:rsidP="00B0555B">
      <w:pPr>
        <w:autoSpaceDE w:val="0"/>
        <w:autoSpaceDN w:val="0"/>
        <w:adjustRightInd w:val="0"/>
        <w:jc w:val="both"/>
        <w:rPr>
          <w:color w:val="000000"/>
        </w:rPr>
      </w:pPr>
      <w:r>
        <w:rPr>
          <w:color w:val="000000"/>
        </w:rPr>
        <w:t>zastoupená:</w:t>
      </w:r>
      <w:r w:rsidR="00FA4D89">
        <w:rPr>
          <w:color w:val="000000"/>
        </w:rPr>
        <w:tab/>
      </w:r>
      <w:r w:rsidR="00FA4D89">
        <w:rPr>
          <w:color w:val="000000"/>
        </w:rPr>
        <w:tab/>
      </w:r>
      <w:r w:rsidR="00FA4D89">
        <w:rPr>
          <w:color w:val="000000"/>
        </w:rPr>
        <w:tab/>
      </w:r>
      <w:r>
        <w:rPr>
          <w:b/>
          <w:color w:val="000000"/>
        </w:rPr>
        <w:t>I</w:t>
      </w:r>
      <w:r>
        <w:rPr>
          <w:b/>
          <w:bCs/>
          <w:color w:val="000000"/>
        </w:rPr>
        <w:t>ng. Janem Hřebačkou, ředitelem</w:t>
      </w:r>
      <w:r>
        <w:rPr>
          <w:color w:val="000000"/>
        </w:rPr>
        <w:t xml:space="preserve"> </w:t>
      </w:r>
    </w:p>
    <w:p w:rsidR="00C273F4" w:rsidRDefault="00FA4D89" w:rsidP="00B0555B">
      <w:pPr>
        <w:autoSpaceDE w:val="0"/>
        <w:autoSpaceDN w:val="0"/>
        <w:adjustRightInd w:val="0"/>
        <w:jc w:val="both"/>
        <w:rPr>
          <w:color w:val="000000"/>
        </w:rPr>
      </w:pPr>
      <w:r>
        <w:rPr>
          <w:color w:val="000000"/>
        </w:rPr>
        <w:t>ve věcech plnění smlouvy:</w:t>
      </w:r>
      <w:r>
        <w:rPr>
          <w:color w:val="000000"/>
        </w:rPr>
        <w:tab/>
      </w:r>
      <w:r w:rsidR="00C273F4" w:rsidRPr="00C273F4">
        <w:rPr>
          <w:b/>
          <w:color w:val="000000"/>
        </w:rPr>
        <w:t>Mgr. Radek Drahný</w:t>
      </w:r>
    </w:p>
    <w:p w:rsidR="00B0555B" w:rsidRDefault="00B0555B" w:rsidP="00B0555B">
      <w:pPr>
        <w:autoSpaceDE w:val="0"/>
        <w:autoSpaceDN w:val="0"/>
        <w:adjustRightInd w:val="0"/>
        <w:ind w:left="5672" w:hanging="5672"/>
        <w:jc w:val="right"/>
        <w:rPr>
          <w:color w:val="000000"/>
        </w:rPr>
      </w:pPr>
      <w:r>
        <w:rPr>
          <w:color w:val="000000"/>
        </w:rPr>
        <w:t>(dále jen objednatel)</w:t>
      </w:r>
    </w:p>
    <w:p w:rsidR="00B0555B" w:rsidRDefault="00B0555B" w:rsidP="00B0555B">
      <w:pPr>
        <w:autoSpaceDE w:val="0"/>
        <w:autoSpaceDN w:val="0"/>
        <w:adjustRightInd w:val="0"/>
        <w:ind w:left="5672" w:hanging="5672"/>
        <w:jc w:val="right"/>
        <w:rPr>
          <w:color w:val="000000"/>
        </w:rPr>
      </w:pPr>
    </w:p>
    <w:p w:rsidR="00B0555B" w:rsidRDefault="00B0555B" w:rsidP="00B0555B">
      <w:pPr>
        <w:autoSpaceDE w:val="0"/>
        <w:autoSpaceDN w:val="0"/>
        <w:adjustRightInd w:val="0"/>
        <w:ind w:left="5672" w:hanging="5672"/>
        <w:rPr>
          <w:color w:val="000000"/>
        </w:rPr>
      </w:pPr>
      <w:r>
        <w:rPr>
          <w:color w:val="000000"/>
        </w:rPr>
        <w:t xml:space="preserve">a </w:t>
      </w:r>
    </w:p>
    <w:p w:rsidR="00B0555B" w:rsidRDefault="00B0555B" w:rsidP="00B0555B">
      <w:pPr>
        <w:autoSpaceDE w:val="0"/>
        <w:autoSpaceDN w:val="0"/>
        <w:adjustRightInd w:val="0"/>
        <w:ind w:left="5672" w:hanging="5672"/>
        <w:rPr>
          <w:color w:val="000000"/>
        </w:rPr>
      </w:pPr>
    </w:p>
    <w:p w:rsidR="00B0555B" w:rsidRDefault="00B0555B" w:rsidP="00B0555B">
      <w:pPr>
        <w:autoSpaceDE w:val="0"/>
        <w:autoSpaceDN w:val="0"/>
        <w:adjustRightInd w:val="0"/>
        <w:jc w:val="both"/>
      </w:pPr>
      <w:r>
        <w:rPr>
          <w:b/>
          <w:bCs/>
          <w:color w:val="000000"/>
          <w:vertAlign w:val="superscript"/>
        </w:rPr>
        <w:t>1</w:t>
      </w:r>
      <w:r>
        <w:rPr>
          <w:b/>
          <w:bCs/>
          <w:color w:val="000000"/>
        </w:rPr>
        <w:t>) Zhotovitel:</w:t>
      </w:r>
      <w:r>
        <w:rPr>
          <w:b/>
          <w:bCs/>
          <w:color w:val="000000"/>
        </w:rPr>
        <w:tab/>
      </w:r>
      <w:r>
        <w:rPr>
          <w:b/>
          <w:bCs/>
          <w:color w:val="000000"/>
        </w:rPr>
        <w:tab/>
      </w:r>
      <w:r>
        <w:rPr>
          <w:b/>
          <w:bCs/>
        </w:rPr>
        <w:tab/>
      </w:r>
      <w:r>
        <w:tab/>
      </w:r>
      <w:r>
        <w:tab/>
      </w:r>
      <w:r>
        <w:tab/>
      </w:r>
      <w:r>
        <w:tab/>
      </w:r>
      <w:r>
        <w:tab/>
      </w:r>
      <w:r>
        <w:tab/>
      </w:r>
    </w:p>
    <w:p w:rsidR="00B0555B" w:rsidRDefault="00B0555B" w:rsidP="00FA4D89">
      <w:pPr>
        <w:autoSpaceDE w:val="0"/>
        <w:autoSpaceDN w:val="0"/>
        <w:adjustRightInd w:val="0"/>
        <w:jc w:val="both"/>
      </w:pPr>
      <w:r>
        <w:t>se sídlem/bytem:</w:t>
      </w:r>
    </w:p>
    <w:p w:rsidR="00B0555B" w:rsidRDefault="00B0555B" w:rsidP="00FA4D89">
      <w:pPr>
        <w:autoSpaceDE w:val="0"/>
        <w:autoSpaceDN w:val="0"/>
        <w:adjustRightInd w:val="0"/>
        <w:jc w:val="both"/>
      </w:pPr>
      <w:r>
        <w:t>IČO/</w:t>
      </w:r>
      <w:proofErr w:type="spellStart"/>
      <w:r>
        <w:t>r.č</w:t>
      </w:r>
      <w:proofErr w:type="spellEnd"/>
      <w:r>
        <w:t xml:space="preserve">.: </w:t>
      </w:r>
      <w:r>
        <w:tab/>
      </w:r>
      <w:r>
        <w:tab/>
      </w:r>
      <w:r>
        <w:tab/>
      </w:r>
      <w:r>
        <w:rPr>
          <w:b/>
          <w:bCs/>
        </w:rPr>
        <w:tab/>
      </w:r>
      <w:r>
        <w:tab/>
      </w:r>
      <w:r>
        <w:tab/>
      </w:r>
    </w:p>
    <w:p w:rsidR="00B0555B" w:rsidRDefault="00B0555B" w:rsidP="00B0555B">
      <w:pPr>
        <w:autoSpaceDE w:val="0"/>
        <w:autoSpaceDN w:val="0"/>
        <w:adjustRightInd w:val="0"/>
        <w:jc w:val="both"/>
      </w:pPr>
      <w:r>
        <w:t>DIČ:</w:t>
      </w:r>
      <w:r>
        <w:tab/>
      </w:r>
    </w:p>
    <w:p w:rsidR="00B0555B" w:rsidRDefault="00B0555B" w:rsidP="00B0555B">
      <w:pPr>
        <w:autoSpaceDE w:val="0"/>
        <w:autoSpaceDN w:val="0"/>
        <w:adjustRightInd w:val="0"/>
        <w:jc w:val="both"/>
      </w:pPr>
      <w:r>
        <w:t>bankovní spojení:</w:t>
      </w:r>
      <w:r>
        <w:tab/>
      </w:r>
      <w:r>
        <w:tab/>
      </w:r>
      <w:r>
        <w:tab/>
      </w:r>
      <w:r>
        <w:tab/>
      </w:r>
      <w:r>
        <w:tab/>
      </w:r>
    </w:p>
    <w:p w:rsidR="00B0555B" w:rsidRDefault="00B0555B" w:rsidP="00B0555B">
      <w:pPr>
        <w:autoSpaceDE w:val="0"/>
        <w:autoSpaceDN w:val="0"/>
        <w:adjustRightInd w:val="0"/>
        <w:jc w:val="both"/>
        <w:rPr>
          <w:color w:val="000000"/>
        </w:rPr>
      </w:pPr>
      <w:r>
        <w:t>zastoupený:</w:t>
      </w:r>
      <w:r>
        <w:tab/>
      </w:r>
      <w:r>
        <w:tab/>
      </w:r>
      <w:r>
        <w:rPr>
          <w:color w:val="000000"/>
        </w:rPr>
        <w:t xml:space="preserve">  </w:t>
      </w:r>
    </w:p>
    <w:p w:rsidR="00B0555B" w:rsidRDefault="00B0555B" w:rsidP="00B0555B">
      <w:pPr>
        <w:autoSpaceDE w:val="0"/>
        <w:autoSpaceDN w:val="0"/>
        <w:adjustRightInd w:val="0"/>
        <w:jc w:val="right"/>
        <w:rPr>
          <w:color w:val="000000"/>
        </w:rPr>
      </w:pPr>
      <w:r>
        <w:rPr>
          <w:color w:val="000000"/>
        </w:rPr>
        <w:t>(dále jen zhotovitel)</w:t>
      </w:r>
    </w:p>
    <w:p w:rsidR="00B0555B" w:rsidRDefault="00B0555B" w:rsidP="00B0555B">
      <w:pPr>
        <w:autoSpaceDE w:val="0"/>
        <w:autoSpaceDN w:val="0"/>
        <w:adjustRightInd w:val="0"/>
        <w:jc w:val="right"/>
        <w:rPr>
          <w:color w:val="000000"/>
        </w:rPr>
      </w:pPr>
      <w:r>
        <w:rPr>
          <w:color w:val="000000"/>
        </w:rPr>
        <w:tab/>
        <w:t>(dále jen smluvní strany)</w:t>
      </w:r>
    </w:p>
    <w:p w:rsidR="00B0555B" w:rsidRDefault="00B0555B" w:rsidP="00B0555B">
      <w:pPr>
        <w:tabs>
          <w:tab w:val="left" w:pos="612"/>
          <w:tab w:val="left" w:pos="1294"/>
          <w:tab w:val="left" w:pos="1805"/>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both"/>
        <w:rPr>
          <w:color w:val="000000"/>
        </w:rPr>
      </w:pPr>
      <w:r>
        <w:rPr>
          <w:color w:val="000000"/>
        </w:rPr>
        <w:t>uzavřená podle § 2586 a násl. občanského zákoníku č. 89/2012 Sb., ve znění pozdějších předpisů</w:t>
      </w:r>
      <w:r>
        <w:rPr>
          <w:color w:val="000000"/>
        </w:rPr>
        <w:tab/>
      </w:r>
      <w:r>
        <w:rPr>
          <w:color w:val="000000"/>
        </w:rPr>
        <w:tab/>
      </w:r>
      <w:r>
        <w:rPr>
          <w:color w:val="000000"/>
        </w:rPr>
        <w:tab/>
      </w:r>
      <w:r>
        <w:rPr>
          <w:color w:val="000000"/>
        </w:rPr>
        <w:tab/>
      </w:r>
      <w:r>
        <w:rPr>
          <w:color w:val="000000"/>
        </w:rPr>
        <w:tab/>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B0555B" w:rsidRPr="008171A5"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8171A5">
        <w:rPr>
          <w:rFonts w:ascii="Arial" w:hAnsi="Arial"/>
          <w:b/>
          <w:sz w:val="22"/>
          <w:szCs w:val="22"/>
        </w:rPr>
        <w:t>Článek 1.</w:t>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8171A5">
        <w:rPr>
          <w:rFonts w:ascii="Arial" w:hAnsi="Arial"/>
          <w:b/>
          <w:sz w:val="22"/>
          <w:szCs w:val="22"/>
        </w:rPr>
        <w:t>Předmět smlouvy</w:t>
      </w:r>
    </w:p>
    <w:p w:rsidR="00FA4D89" w:rsidRPr="008171A5" w:rsidRDefault="00FA4D89"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B0555B" w:rsidRDefault="00B0555B" w:rsidP="00FA4D89">
      <w:pPr>
        <w:pStyle w:val="Normln1"/>
        <w:numPr>
          <w:ilvl w:val="1"/>
          <w:numId w:val="1"/>
        </w:numPr>
        <w:tabs>
          <w:tab w:val="clear" w:pos="390"/>
          <w:tab w:val="num"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0"/>
        <w:jc w:val="both"/>
        <w:rPr>
          <w:rFonts w:ascii="Arial" w:hAnsi="Arial"/>
        </w:rPr>
      </w:pPr>
      <w:r>
        <w:rPr>
          <w:rFonts w:ascii="Arial" w:hAnsi="Arial"/>
        </w:rPr>
        <w:t xml:space="preserve">Předmětem smlouvy je ofsetový tisk propagačních </w:t>
      </w:r>
      <w:proofErr w:type="gramStart"/>
      <w:r>
        <w:rPr>
          <w:rFonts w:ascii="Arial" w:hAnsi="Arial"/>
        </w:rPr>
        <w:t>materiálů  dále</w:t>
      </w:r>
      <w:proofErr w:type="gramEnd"/>
      <w:r>
        <w:rPr>
          <w:rFonts w:ascii="Arial" w:hAnsi="Arial"/>
        </w:rPr>
        <w:t xml:space="preserve"> specifikovaných v krycím listu, který je přílohou č. 1 této smlouvy o dílo. Předmět zakázky je financován v rámci Programu EU </w:t>
      </w:r>
      <w:proofErr w:type="spellStart"/>
      <w:r>
        <w:rPr>
          <w:rFonts w:ascii="Arial" w:hAnsi="Arial"/>
        </w:rPr>
        <w:t>Interreg</w:t>
      </w:r>
      <w:proofErr w:type="spellEnd"/>
      <w:r>
        <w:rPr>
          <w:rFonts w:ascii="Arial" w:hAnsi="Arial"/>
        </w:rPr>
        <w:t xml:space="preserve"> V-A Česká republika – Polsko. Název projektu je  Společné vzdělávání pracovníků Správy KRNAP a KPN II., </w:t>
      </w:r>
      <w:proofErr w:type="spellStart"/>
      <w:r>
        <w:rPr>
          <w:rFonts w:ascii="Arial" w:hAnsi="Arial"/>
        </w:rPr>
        <w:t>reg</w:t>
      </w:r>
      <w:proofErr w:type="spellEnd"/>
      <w:r>
        <w:rPr>
          <w:rFonts w:ascii="Arial" w:hAnsi="Arial"/>
        </w:rPr>
        <w:t xml:space="preserve">. </w:t>
      </w:r>
      <w:proofErr w:type="gramStart"/>
      <w:r>
        <w:rPr>
          <w:rFonts w:ascii="Arial" w:hAnsi="Arial"/>
        </w:rPr>
        <w:t>č.</w:t>
      </w:r>
      <w:proofErr w:type="gramEnd"/>
      <w:r>
        <w:rPr>
          <w:rFonts w:ascii="Arial" w:hAnsi="Arial"/>
        </w:rPr>
        <w:t xml:space="preserve"> CZ.11.4.120/0.0/0.0/15_006/0000088 včetně dopravy do sídla Správy KRNAP, Dobrovského 3, Vrchlabí.</w:t>
      </w:r>
    </w:p>
    <w:p w:rsidR="00FA4D89" w:rsidRDefault="00FA4D89" w:rsidP="00FA4D89">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B0555B" w:rsidRDefault="00B0555B" w:rsidP="00FA4D89">
      <w:pPr>
        <w:pStyle w:val="Normln1"/>
        <w:numPr>
          <w:ilvl w:val="1"/>
          <w:numId w:val="1"/>
        </w:numPr>
        <w:tabs>
          <w:tab w:val="clear" w:pos="390"/>
          <w:tab w:val="num"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0"/>
        <w:jc w:val="both"/>
        <w:rPr>
          <w:rFonts w:ascii="Arial" w:hAnsi="Arial"/>
        </w:rPr>
      </w:pPr>
      <w:r>
        <w:rPr>
          <w:rFonts w:ascii="Arial" w:hAnsi="Arial"/>
        </w:rPr>
        <w:t>Technická specifikace</w:t>
      </w:r>
      <w:r w:rsidR="00550190">
        <w:rPr>
          <w:rFonts w:ascii="Arial" w:hAnsi="Arial"/>
        </w:rPr>
        <w:t xml:space="preserve"> tiskovin</w:t>
      </w:r>
      <w:r>
        <w:rPr>
          <w:rFonts w:ascii="Arial" w:hAnsi="Arial"/>
        </w:rPr>
        <w:t xml:space="preserve">, cenová specifikace a </w:t>
      </w:r>
      <w:r w:rsidR="000A08B5">
        <w:rPr>
          <w:rFonts w:ascii="Arial" w:hAnsi="Arial"/>
        </w:rPr>
        <w:t xml:space="preserve">přepokládaný termín </w:t>
      </w:r>
      <w:r>
        <w:rPr>
          <w:rFonts w:ascii="Arial" w:hAnsi="Arial"/>
        </w:rPr>
        <w:t xml:space="preserve">plnění předmětu této smlouvy jsou uvedeny v příloze </w:t>
      </w:r>
      <w:proofErr w:type="gramStart"/>
      <w:r>
        <w:rPr>
          <w:rFonts w:ascii="Arial" w:hAnsi="Arial"/>
        </w:rPr>
        <w:t>č.1.</w:t>
      </w:r>
      <w:proofErr w:type="gramEnd"/>
      <w:r>
        <w:rPr>
          <w:rFonts w:ascii="Arial" w:hAnsi="Arial"/>
        </w:rPr>
        <w:t xml:space="preserve">  </w:t>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rPr>
      </w:pPr>
    </w:p>
    <w:p w:rsidR="00B0555B" w:rsidRPr="008171A5"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8171A5">
        <w:rPr>
          <w:rFonts w:ascii="Arial" w:hAnsi="Arial"/>
          <w:b/>
          <w:sz w:val="22"/>
          <w:szCs w:val="22"/>
        </w:rPr>
        <w:t>Článek 2.</w:t>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8171A5">
        <w:rPr>
          <w:rFonts w:ascii="Arial" w:hAnsi="Arial"/>
          <w:b/>
          <w:sz w:val="22"/>
          <w:szCs w:val="22"/>
        </w:rPr>
        <w:t xml:space="preserve">Doba plnění </w:t>
      </w:r>
    </w:p>
    <w:p w:rsidR="00FA4D89" w:rsidRPr="008171A5" w:rsidRDefault="00FA4D89"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p>
    <w:p w:rsidR="000A08B5"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2.1. Tato smlouva se uzavírá na dobu určitou, </w:t>
      </w:r>
      <w:r w:rsidR="000A08B5">
        <w:rPr>
          <w:rFonts w:ascii="Arial" w:hAnsi="Arial"/>
        </w:rPr>
        <w:t xml:space="preserve">předpokládaný termín plnění je od </w:t>
      </w:r>
      <w:proofErr w:type="gramStart"/>
      <w:r w:rsidR="000A08B5">
        <w:rPr>
          <w:rFonts w:ascii="Arial" w:hAnsi="Arial"/>
        </w:rPr>
        <w:t>1.10.2017</w:t>
      </w:r>
      <w:proofErr w:type="gramEnd"/>
      <w:r w:rsidR="000A08B5">
        <w:rPr>
          <w:rFonts w:ascii="Arial" w:hAnsi="Arial"/>
        </w:rPr>
        <w:t xml:space="preserve"> do 31.10. 2017, přičemž</w:t>
      </w:r>
      <w:r>
        <w:rPr>
          <w:rFonts w:ascii="Arial" w:hAnsi="Arial"/>
        </w:rPr>
        <w:t xml:space="preserve"> </w:t>
      </w:r>
      <w:r w:rsidR="000A08B5">
        <w:rPr>
          <w:rFonts w:ascii="Arial" w:hAnsi="Arial"/>
        </w:rPr>
        <w:t xml:space="preserve">může být změněn vzájemnou dohodou smluvních stran v závislosti na předání podkladů pro tisk objednatelem, nejdéle však do </w:t>
      </w:r>
      <w:r>
        <w:rPr>
          <w:rFonts w:ascii="Arial" w:hAnsi="Arial"/>
        </w:rPr>
        <w:t xml:space="preserve">31.12.2017. </w:t>
      </w:r>
    </w:p>
    <w:p w:rsidR="00FA4D89" w:rsidRDefault="00FA4D89"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B0555B"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2.2. </w:t>
      </w:r>
      <w:r w:rsidR="00B0555B">
        <w:rPr>
          <w:rFonts w:ascii="Arial" w:hAnsi="Arial"/>
        </w:rPr>
        <w:t xml:space="preserve">Výpovědní doba </w:t>
      </w:r>
      <w:r w:rsidR="00C273F4">
        <w:rPr>
          <w:rFonts w:ascii="Arial" w:hAnsi="Arial"/>
        </w:rPr>
        <w:t>je 15 dnů</w:t>
      </w:r>
      <w:r w:rsidR="00B0555B">
        <w:rPr>
          <w:rFonts w:ascii="Arial" w:hAnsi="Arial"/>
        </w:rPr>
        <w:t xml:space="preserve"> pro obě strany. Výpovědní lhůta začíná běžet prvním dnem </w:t>
      </w:r>
      <w:r w:rsidR="00C273F4">
        <w:rPr>
          <w:rFonts w:ascii="Arial" w:hAnsi="Arial"/>
        </w:rPr>
        <w:t>následujícím po dni doručení výpovědi druhé smluvní straně.</w:t>
      </w:r>
      <w:r w:rsidR="00B0555B">
        <w:rPr>
          <w:rFonts w:ascii="Arial" w:hAnsi="Arial"/>
        </w:rPr>
        <w:t xml:space="preserve"> </w:t>
      </w:r>
      <w:r w:rsidR="00C273F4">
        <w:rPr>
          <w:rFonts w:ascii="Arial" w:hAnsi="Arial"/>
        </w:rPr>
        <w:t xml:space="preserve">Za den doručení se považuje den uložení zásilky u poštovního doručovatele, pokud bude výpověď doručována jeho prostřednictvím. </w:t>
      </w:r>
      <w:r w:rsidR="00B0555B">
        <w:rPr>
          <w:rFonts w:ascii="Arial" w:hAnsi="Arial"/>
        </w:rPr>
        <w:t xml:space="preserve">V případě výpovědi budou zhotovitelem dokončeny všechny předměty plnění, které budou započaty v době výpovědi, byť by dokončení předmětu plnění bylo po skončení výpovědní lhůty. </w:t>
      </w:r>
    </w:p>
    <w:p w:rsidR="00FA4D89" w:rsidRDefault="00FA4D89"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2.3. Objednatel je oprávněn odstoupit od této smlouvy v případě chybných dodávek tiskovin, jejich kvality. Odstoupení je účinné ke dni doručení odstoupení zhotoviteli. </w:t>
      </w:r>
    </w:p>
    <w:p w:rsidR="00FA4D89" w:rsidRDefault="00FA4D89"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C273F4"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2.</w:t>
      </w:r>
      <w:r w:rsidR="000A08B5">
        <w:rPr>
          <w:rFonts w:ascii="Arial" w:hAnsi="Arial"/>
        </w:rPr>
        <w:t>4</w:t>
      </w:r>
      <w:r>
        <w:rPr>
          <w:rFonts w:ascii="Arial" w:hAnsi="Arial"/>
        </w:rPr>
        <w:t xml:space="preserve">. Poruší-li některá ze smluvních stran své smluvní povinnosti podstatným způsobem, takže se tím zmaří účel této smlouvy, zkracuje se výpovědní lhůta podle odst. 2.1 tohoto článku na sedm </w:t>
      </w:r>
      <w:r>
        <w:rPr>
          <w:rFonts w:ascii="Arial" w:hAnsi="Arial"/>
        </w:rPr>
        <w:lastRenderedPageBreak/>
        <w:t xml:space="preserve">kalendářních dnů. Uvedená lhůta začíná běžet ode dne následujícího po doručení písemné výpovědi druhé smluvní straně.  </w:t>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8171A5" w:rsidRDefault="008171A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rPr>
      </w:pPr>
    </w:p>
    <w:p w:rsidR="00B0555B" w:rsidRPr="008171A5"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8171A5">
        <w:rPr>
          <w:rFonts w:ascii="Arial" w:hAnsi="Arial"/>
          <w:b/>
          <w:sz w:val="22"/>
          <w:szCs w:val="22"/>
        </w:rPr>
        <w:t>Článek 3.</w:t>
      </w:r>
    </w:p>
    <w:p w:rsidR="00B0555B" w:rsidRPr="008171A5"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b/>
          <w:sz w:val="22"/>
          <w:szCs w:val="22"/>
        </w:rPr>
      </w:pPr>
      <w:r w:rsidRPr="008171A5">
        <w:rPr>
          <w:rFonts w:ascii="Arial" w:hAnsi="Arial"/>
          <w:b/>
          <w:sz w:val="22"/>
          <w:szCs w:val="22"/>
        </w:rPr>
        <w:t>Cena za plnění</w:t>
      </w:r>
    </w:p>
    <w:p w:rsidR="008171A5" w:rsidRDefault="008171A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0A08B5"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3.1. </w:t>
      </w:r>
      <w:r w:rsidR="000A08B5">
        <w:rPr>
          <w:rFonts w:ascii="Arial" w:hAnsi="Arial"/>
        </w:rPr>
        <w:t xml:space="preserve">Celková cena díla činí: </w:t>
      </w:r>
    </w:p>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bl>
      <w:tblPr>
        <w:tblStyle w:val="Mkatabulky"/>
        <w:tblW w:w="9209" w:type="dxa"/>
        <w:tblLook w:val="04A0" w:firstRow="1" w:lastRow="0" w:firstColumn="1" w:lastColumn="0" w:noHBand="0" w:noVBand="1"/>
      </w:tblPr>
      <w:tblGrid>
        <w:gridCol w:w="1980"/>
        <w:gridCol w:w="850"/>
        <w:gridCol w:w="1134"/>
        <w:gridCol w:w="2410"/>
        <w:gridCol w:w="1177"/>
        <w:gridCol w:w="1658"/>
      </w:tblGrid>
      <w:tr w:rsidR="000A08B5" w:rsidTr="00550190">
        <w:tc>
          <w:tcPr>
            <w:tcW w:w="1980" w:type="dxa"/>
          </w:tcPr>
          <w:p w:rsidR="000A08B5" w:rsidRP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Pr>
                <w:rFonts w:ascii="Arial" w:hAnsi="Arial"/>
                <w:b/>
              </w:rPr>
              <w:t>Tiskovina</w:t>
            </w:r>
            <w:r w:rsidRPr="000A08B5">
              <w:rPr>
                <w:rFonts w:ascii="Arial" w:hAnsi="Arial"/>
                <w:b/>
              </w:rPr>
              <w:t xml:space="preserve"> </w:t>
            </w:r>
          </w:p>
        </w:tc>
        <w:tc>
          <w:tcPr>
            <w:tcW w:w="850" w:type="dxa"/>
          </w:tcPr>
          <w:p w:rsidR="000A08B5" w:rsidRPr="00550190"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sidRPr="00550190">
              <w:rPr>
                <w:rFonts w:ascii="Arial" w:hAnsi="Arial"/>
                <w:b/>
              </w:rPr>
              <w:t>Počet ks</w:t>
            </w:r>
          </w:p>
        </w:tc>
        <w:tc>
          <w:tcPr>
            <w:tcW w:w="1134" w:type="dxa"/>
          </w:tcPr>
          <w:p w:rsidR="000A08B5" w:rsidRPr="00550190" w:rsidRDefault="000A08B5" w:rsidP="000A08B5">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sidRPr="00550190">
              <w:rPr>
                <w:rFonts w:ascii="Arial" w:hAnsi="Arial"/>
                <w:b/>
              </w:rPr>
              <w:t>Cena bez DPH /1 ks</w:t>
            </w:r>
          </w:p>
        </w:tc>
        <w:tc>
          <w:tcPr>
            <w:tcW w:w="2410" w:type="dxa"/>
          </w:tcPr>
          <w:p w:rsidR="000A08B5" w:rsidRPr="00550190" w:rsidRDefault="000A08B5" w:rsidP="0055019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sidRPr="00550190">
              <w:rPr>
                <w:rFonts w:ascii="Arial" w:hAnsi="Arial"/>
                <w:b/>
              </w:rPr>
              <w:t xml:space="preserve">Cena bez DPH/ </w:t>
            </w:r>
            <w:r w:rsidR="00550190" w:rsidRPr="00550190">
              <w:rPr>
                <w:rFonts w:ascii="Arial" w:hAnsi="Arial"/>
                <w:b/>
              </w:rPr>
              <w:t>daný</w:t>
            </w:r>
            <w:r w:rsidRPr="00550190">
              <w:rPr>
                <w:rFonts w:ascii="Arial" w:hAnsi="Arial"/>
                <w:b/>
              </w:rPr>
              <w:t xml:space="preserve"> počet ks</w:t>
            </w:r>
          </w:p>
        </w:tc>
        <w:tc>
          <w:tcPr>
            <w:tcW w:w="1177" w:type="dxa"/>
          </w:tcPr>
          <w:p w:rsidR="000A08B5" w:rsidRPr="00550190" w:rsidRDefault="000A08B5" w:rsidP="0055019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sidRPr="00550190">
              <w:rPr>
                <w:rFonts w:ascii="Arial" w:hAnsi="Arial"/>
                <w:b/>
              </w:rPr>
              <w:t xml:space="preserve">DPH </w:t>
            </w:r>
            <w:r w:rsidR="00550190" w:rsidRPr="00550190">
              <w:rPr>
                <w:rFonts w:ascii="Arial" w:hAnsi="Arial"/>
                <w:b/>
              </w:rPr>
              <w:t>z</w:t>
            </w:r>
            <w:r w:rsidRPr="00550190">
              <w:rPr>
                <w:rFonts w:ascii="Arial" w:hAnsi="Arial"/>
                <w:b/>
              </w:rPr>
              <w:t xml:space="preserve"> ceny za </w:t>
            </w:r>
            <w:r w:rsidR="00550190" w:rsidRPr="00550190">
              <w:rPr>
                <w:rFonts w:ascii="Arial" w:hAnsi="Arial"/>
                <w:b/>
              </w:rPr>
              <w:t>daný</w:t>
            </w:r>
            <w:r w:rsidRPr="00550190">
              <w:rPr>
                <w:rFonts w:ascii="Arial" w:hAnsi="Arial"/>
                <w:b/>
              </w:rPr>
              <w:t xml:space="preserve"> počet ks </w:t>
            </w:r>
          </w:p>
        </w:tc>
        <w:tc>
          <w:tcPr>
            <w:tcW w:w="1658" w:type="dxa"/>
          </w:tcPr>
          <w:p w:rsidR="000A08B5" w:rsidRP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sidRPr="00550190">
              <w:rPr>
                <w:rFonts w:ascii="Arial" w:hAnsi="Arial"/>
                <w:b/>
              </w:rPr>
              <w:t>Cena celkem včetně DPH /daný počet ks</w:t>
            </w:r>
          </w:p>
        </w:tc>
      </w:tr>
      <w:tr w:rsidR="000A08B5" w:rsidTr="00550190">
        <w:trPr>
          <w:trHeight w:val="600"/>
        </w:trPr>
        <w:tc>
          <w:tcPr>
            <w:tcW w:w="1980" w:type="dxa"/>
          </w:tcPr>
          <w:p w:rsidR="000A08B5"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Tiskovina Plán péče </w:t>
            </w:r>
          </w:p>
        </w:tc>
        <w:tc>
          <w:tcPr>
            <w:tcW w:w="850"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134"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2410"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177"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658"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r>
      <w:tr w:rsidR="000A08B5" w:rsidTr="00550190">
        <w:trPr>
          <w:trHeight w:val="646"/>
        </w:trPr>
        <w:tc>
          <w:tcPr>
            <w:tcW w:w="1980" w:type="dxa"/>
          </w:tcPr>
          <w:p w:rsidR="000A08B5"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Prezentační desky s chlopněmi</w:t>
            </w:r>
          </w:p>
        </w:tc>
        <w:tc>
          <w:tcPr>
            <w:tcW w:w="850"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134"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2410"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177"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658"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r>
      <w:tr w:rsidR="000A08B5" w:rsidTr="00550190">
        <w:tc>
          <w:tcPr>
            <w:tcW w:w="1980" w:type="dxa"/>
          </w:tcPr>
          <w:p w:rsidR="000A08B5"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Výukové postery </w:t>
            </w:r>
            <w:proofErr w:type="spellStart"/>
            <w:r>
              <w:rPr>
                <w:rFonts w:ascii="Arial" w:hAnsi="Arial"/>
              </w:rPr>
              <w:t>Dungel</w:t>
            </w:r>
            <w:proofErr w:type="spellEnd"/>
          </w:p>
        </w:tc>
        <w:tc>
          <w:tcPr>
            <w:tcW w:w="850"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134"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2410"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177"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c>
          <w:tcPr>
            <w:tcW w:w="1658" w:type="dxa"/>
          </w:tcPr>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r>
      <w:tr w:rsidR="00550190" w:rsidTr="00550190">
        <w:trPr>
          <w:trHeight w:val="837"/>
        </w:trPr>
        <w:tc>
          <w:tcPr>
            <w:tcW w:w="1980" w:type="dxa"/>
          </w:tcPr>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p>
          <w:p w:rsidR="00550190" w:rsidRPr="00550190" w:rsidRDefault="00550190" w:rsidP="00550190">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sidRPr="00550190">
              <w:rPr>
                <w:rFonts w:ascii="Arial" w:hAnsi="Arial"/>
                <w:b/>
              </w:rPr>
              <w:t xml:space="preserve">Celková cena za celé dílo </w:t>
            </w:r>
            <w:r>
              <w:rPr>
                <w:rFonts w:ascii="Arial" w:hAnsi="Arial"/>
                <w:b/>
              </w:rPr>
              <w:t xml:space="preserve">v Kč bez DPH </w:t>
            </w:r>
          </w:p>
        </w:tc>
        <w:tc>
          <w:tcPr>
            <w:tcW w:w="7229" w:type="dxa"/>
            <w:gridSpan w:val="5"/>
          </w:tcPr>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r>
      <w:tr w:rsidR="00550190" w:rsidTr="00550190">
        <w:trPr>
          <w:trHeight w:val="427"/>
        </w:trPr>
        <w:tc>
          <w:tcPr>
            <w:tcW w:w="1980" w:type="dxa"/>
          </w:tcPr>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p>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Pr>
                <w:rFonts w:ascii="Arial" w:hAnsi="Arial"/>
                <w:b/>
              </w:rPr>
              <w:t>Z toho DPH</w:t>
            </w:r>
          </w:p>
        </w:tc>
        <w:tc>
          <w:tcPr>
            <w:tcW w:w="7229" w:type="dxa"/>
            <w:gridSpan w:val="5"/>
          </w:tcPr>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r>
      <w:tr w:rsidR="00550190" w:rsidTr="00550190">
        <w:trPr>
          <w:trHeight w:val="835"/>
        </w:trPr>
        <w:tc>
          <w:tcPr>
            <w:tcW w:w="1980" w:type="dxa"/>
          </w:tcPr>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b/>
              </w:rPr>
            </w:pPr>
            <w:r>
              <w:rPr>
                <w:rFonts w:ascii="Arial" w:hAnsi="Arial"/>
                <w:b/>
              </w:rPr>
              <w:t>Cena celkem za celé dílo včetně DPH</w:t>
            </w:r>
          </w:p>
        </w:tc>
        <w:tc>
          <w:tcPr>
            <w:tcW w:w="7229" w:type="dxa"/>
            <w:gridSpan w:val="5"/>
          </w:tcPr>
          <w:p w:rsidR="00550190" w:rsidRDefault="00550190"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tc>
      </w:tr>
    </w:tbl>
    <w:p w:rsidR="000A08B5" w:rsidRDefault="000A08B5"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Cena za předmět díla je uveden v příloze č. 1. této smlouvy. Fakturace bude zhotovitelem prováděna na základě předávacích protokolů potvrzených určenou osobou objednatele. Faktura musí obsahovat název projektu: Společné vzdělávání pracovníků Správy KRNAP a KPN II., </w:t>
      </w:r>
      <w:proofErr w:type="spellStart"/>
      <w:r>
        <w:rPr>
          <w:rFonts w:ascii="Arial" w:hAnsi="Arial"/>
        </w:rPr>
        <w:t>reg</w:t>
      </w:r>
      <w:proofErr w:type="spellEnd"/>
      <w:r>
        <w:rPr>
          <w:rFonts w:ascii="Arial" w:hAnsi="Arial"/>
        </w:rPr>
        <w:t xml:space="preserve">. </w:t>
      </w:r>
      <w:proofErr w:type="gramStart"/>
      <w:r>
        <w:rPr>
          <w:rFonts w:ascii="Arial" w:hAnsi="Arial"/>
        </w:rPr>
        <w:t>č.</w:t>
      </w:r>
      <w:proofErr w:type="gramEnd"/>
      <w:r>
        <w:rPr>
          <w:rFonts w:ascii="Arial" w:hAnsi="Arial"/>
        </w:rPr>
        <w:t xml:space="preserve"> CZ.11.4.120/0.0/0.0/15_006/0000088. Faktura bude dále obsahovat náležitosti požadované právními předpisy ČR, v opačném případě je oprávněn objednatel takovou fakturu vrátit jako neoprávněnou.</w:t>
      </w:r>
      <w:r>
        <w:t xml:space="preserve"> </w:t>
      </w:r>
      <w:r>
        <w:rPr>
          <w:rFonts w:ascii="Arial" w:hAnsi="Arial"/>
        </w:rPr>
        <w:t xml:space="preserve">Fakturu zhotovitel zasílá na adresu objednatele: Správa Krkonošského národního parku, Dobrovského </w:t>
      </w:r>
      <w:r w:rsidR="00C273F4">
        <w:rPr>
          <w:rFonts w:ascii="Arial" w:hAnsi="Arial"/>
        </w:rPr>
        <w:t xml:space="preserve">3, 543 01 Vrchlabí, k rukám určené osoby objednatele. </w:t>
      </w:r>
      <w:r>
        <w:rPr>
          <w:rFonts w:ascii="Arial" w:hAnsi="Arial"/>
        </w:rPr>
        <w:t xml:space="preserve"> Uvedená cena v příloze č. 1 zahrnuje veškeré náklady zhotovitele související s provedením díla. </w:t>
      </w:r>
    </w:p>
    <w:p w:rsidR="00FA4D89" w:rsidRDefault="00FA4D89"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r>
        <w:rPr>
          <w:rFonts w:ascii="Arial" w:hAnsi="Arial"/>
        </w:rPr>
        <w:t xml:space="preserve">3.2 Smluvní strany se dohodly, že faktura bude vystavena zhotovitelem do 5 pracovních dnů po převzetí </w:t>
      </w:r>
      <w:r w:rsidR="00C273F4">
        <w:rPr>
          <w:rFonts w:ascii="Arial" w:hAnsi="Arial"/>
        </w:rPr>
        <w:t>bezvadného díla</w:t>
      </w:r>
      <w:r>
        <w:rPr>
          <w:rFonts w:ascii="Arial" w:hAnsi="Arial"/>
        </w:rPr>
        <w:t xml:space="preserve"> objednatelem. Faktury vystavené zhotovitelem budou splatné do 20 dnů po jejich obdržení objednatelem. Objednatel může faktury vrátit do data jejich splatnosti, pokud budou obsahovat nesprávně nebo neúplné náležitosti. Veškeré doklady k fakturaci (dodací list) budou zhotovitelem zpracovány v českém jazyce. Objednatel neposkytuje zálohy.  </w:t>
      </w:r>
    </w:p>
    <w:p w:rsidR="00B0555B" w:rsidRDefault="00B0555B" w:rsidP="00B0555B">
      <w:pPr>
        <w:pStyle w:val="Normln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rPr>
      </w:pPr>
    </w:p>
    <w:p w:rsidR="00B0555B" w:rsidRDefault="00B0555B" w:rsidP="00B0555B">
      <w:pPr>
        <w:jc w:val="center"/>
        <w:rPr>
          <w:b/>
        </w:rPr>
      </w:pPr>
    </w:p>
    <w:p w:rsidR="008171A5" w:rsidRDefault="008171A5" w:rsidP="00B0555B">
      <w:pPr>
        <w:jc w:val="center"/>
        <w:rPr>
          <w:b/>
          <w:sz w:val="22"/>
          <w:szCs w:val="22"/>
        </w:rPr>
      </w:pPr>
      <w:r>
        <w:rPr>
          <w:b/>
          <w:sz w:val="22"/>
          <w:szCs w:val="22"/>
        </w:rPr>
        <w:t xml:space="preserve">Článek </w:t>
      </w:r>
      <w:r w:rsidR="00B0555B" w:rsidRPr="008171A5">
        <w:rPr>
          <w:b/>
          <w:sz w:val="22"/>
          <w:szCs w:val="22"/>
        </w:rPr>
        <w:t xml:space="preserve">4. </w:t>
      </w:r>
    </w:p>
    <w:p w:rsidR="00B0555B" w:rsidRPr="008171A5" w:rsidRDefault="00B0555B" w:rsidP="00B0555B">
      <w:pPr>
        <w:jc w:val="center"/>
        <w:rPr>
          <w:b/>
          <w:sz w:val="22"/>
          <w:szCs w:val="22"/>
        </w:rPr>
      </w:pPr>
      <w:r w:rsidRPr="008171A5">
        <w:rPr>
          <w:b/>
          <w:sz w:val="22"/>
          <w:szCs w:val="22"/>
        </w:rPr>
        <w:t>Smluvní pokuty</w:t>
      </w:r>
    </w:p>
    <w:p w:rsidR="00B0555B" w:rsidRDefault="00B0555B" w:rsidP="00B0555B">
      <w:pPr>
        <w:jc w:val="center"/>
        <w:rPr>
          <w:b/>
        </w:rPr>
      </w:pPr>
    </w:p>
    <w:p w:rsidR="00B0555B" w:rsidRDefault="00B0555B" w:rsidP="00B0555B">
      <w:pPr>
        <w:jc w:val="both"/>
      </w:pPr>
      <w:r>
        <w:t>4.1. Za nesplnění závazků z této smlouvy se sjednávají následující pokuty:</w:t>
      </w:r>
    </w:p>
    <w:p w:rsidR="00B0555B" w:rsidRDefault="00B0555B" w:rsidP="00B0555B">
      <w:pPr>
        <w:jc w:val="both"/>
      </w:pPr>
      <w:r>
        <w:t>a)</w:t>
      </w:r>
      <w:r>
        <w:tab/>
        <w:t>v případě nedodržení termínu předání dodávky ve sjednaném termínu z důvodů na straně zhotovitele, je zhotovitel povinen zaplatit objednateli smluvní pokutu ve výši 0,05 % z celkové ceny dodávky, včetně DPH a to za každý i započatý den prodlení;</w:t>
      </w:r>
    </w:p>
    <w:p w:rsidR="00B0555B" w:rsidRDefault="00B0555B" w:rsidP="00B0555B">
      <w:pPr>
        <w:jc w:val="both"/>
      </w:pPr>
      <w:r>
        <w:t>b)</w:t>
      </w:r>
      <w:r>
        <w:tab/>
        <w:t>pokud objednatel neuhradí v dohodnutém termínu fakturu za dodávku, je povinen zaplatit zhotoviteli úrok z prodlení ve výši 0,05 % z neuhrazené fakturované ceny, a to za každý i započatý den prodlení.</w:t>
      </w:r>
    </w:p>
    <w:p w:rsidR="00B0555B" w:rsidRDefault="00B0555B" w:rsidP="00B0555B">
      <w:pPr>
        <w:jc w:val="both"/>
      </w:pPr>
      <w:r>
        <w:lastRenderedPageBreak/>
        <w:t>4.2. Smluvní strana, která se dostane vzhledem k v</w:t>
      </w:r>
      <w:r w:rsidR="008171A5">
        <w:t>ýše uvedenému porušení podmínek</w:t>
      </w:r>
      <w:r>
        <w:t xml:space="preserve"> do pozice dlužníka, je i po zaplacení pokuty zavázána splnit závazek, neboť zaplacením pokuty tento závazek nezanikne. </w:t>
      </w:r>
    </w:p>
    <w:p w:rsidR="00B0555B" w:rsidRDefault="00B0555B" w:rsidP="00B0555B">
      <w:pPr>
        <w:jc w:val="center"/>
        <w:rPr>
          <w:b/>
        </w:rPr>
      </w:pPr>
    </w:p>
    <w:p w:rsidR="008171A5" w:rsidRDefault="008171A5" w:rsidP="00B0555B">
      <w:pPr>
        <w:jc w:val="center"/>
        <w:rPr>
          <w:b/>
          <w:sz w:val="22"/>
          <w:szCs w:val="22"/>
        </w:rPr>
      </w:pPr>
    </w:p>
    <w:p w:rsidR="008171A5" w:rsidRDefault="008171A5" w:rsidP="00B0555B">
      <w:pPr>
        <w:jc w:val="center"/>
        <w:rPr>
          <w:b/>
          <w:sz w:val="22"/>
          <w:szCs w:val="22"/>
        </w:rPr>
      </w:pPr>
      <w:r>
        <w:rPr>
          <w:b/>
          <w:sz w:val="22"/>
          <w:szCs w:val="22"/>
        </w:rPr>
        <w:t xml:space="preserve">Článek </w:t>
      </w:r>
      <w:r w:rsidR="00B0555B" w:rsidRPr="008171A5">
        <w:rPr>
          <w:b/>
          <w:sz w:val="22"/>
          <w:szCs w:val="22"/>
        </w:rPr>
        <w:t xml:space="preserve">5. </w:t>
      </w:r>
      <w:r>
        <w:rPr>
          <w:b/>
          <w:sz w:val="22"/>
          <w:szCs w:val="22"/>
        </w:rPr>
        <w:t xml:space="preserve"> </w:t>
      </w:r>
    </w:p>
    <w:p w:rsidR="00B0555B" w:rsidRPr="008171A5" w:rsidRDefault="00B0555B" w:rsidP="00B0555B">
      <w:pPr>
        <w:jc w:val="center"/>
        <w:rPr>
          <w:b/>
          <w:sz w:val="22"/>
          <w:szCs w:val="22"/>
        </w:rPr>
      </w:pPr>
      <w:r w:rsidRPr="008171A5">
        <w:rPr>
          <w:b/>
          <w:sz w:val="22"/>
          <w:szCs w:val="22"/>
        </w:rPr>
        <w:t>Povinnosti smluvních stran</w:t>
      </w:r>
    </w:p>
    <w:p w:rsidR="00B0555B" w:rsidRDefault="00B0555B" w:rsidP="00B0555B">
      <w:pPr>
        <w:jc w:val="center"/>
        <w:rPr>
          <w:b/>
        </w:rPr>
      </w:pPr>
    </w:p>
    <w:p w:rsidR="00B0555B" w:rsidRDefault="00B0555B" w:rsidP="00B0555B">
      <w:pPr>
        <w:jc w:val="both"/>
      </w:pPr>
      <w:r>
        <w:t xml:space="preserve">5.1. Zhotovitel je povinen postupovat při realizaci díla s veškerou odbornou péčí, dodržovat pokyny a respektovat zájmy objednatele a plně zohlednit účel, pro který je tato smlouva uzavírána. </w:t>
      </w:r>
    </w:p>
    <w:p w:rsidR="00FA4D89" w:rsidRDefault="00FA4D89" w:rsidP="00B0555B">
      <w:pPr>
        <w:jc w:val="both"/>
      </w:pPr>
    </w:p>
    <w:p w:rsidR="00B0555B" w:rsidRDefault="00B0555B" w:rsidP="00B0555B">
      <w:pPr>
        <w:jc w:val="both"/>
      </w:pPr>
      <w:r>
        <w:t xml:space="preserve">5.2. Objednatel je oprávněn po celou dobu trvání této smlouvy kontrolovat kvalitu plnění a v případě, pokud zjistí nedostatky, je povinen je neprodleně sdělit zhotoviteli, který zajistí do 48 hodin nápravu. V případě opakovaného zjištění závažných nedostatků v předmětu plnění je objednatel oprávněn od smlouvy odstoupit, kdy se postupuje dle čl. 2 odst. 2.3. </w:t>
      </w:r>
    </w:p>
    <w:p w:rsidR="00FA4D89" w:rsidRDefault="00FA4D89" w:rsidP="00B0555B">
      <w:pPr>
        <w:jc w:val="both"/>
      </w:pPr>
    </w:p>
    <w:p w:rsidR="00B0555B" w:rsidRDefault="00B0555B" w:rsidP="00B0555B">
      <w:pPr>
        <w:jc w:val="both"/>
      </w:pPr>
      <w:r>
        <w:t xml:space="preserve">5.3. Pokud zhotovitel zjistí nedostatky způsobené objednatelem, které zhotoviteli znemožňují plnit předmět plnění ve stanovené kvalitě nebo lhůtě, je povinen neprodleně o této skutečnosti informovat objednatele, který je povinen učinit neodkladná opatření ke sjednání nápravy. </w:t>
      </w:r>
    </w:p>
    <w:p w:rsidR="00FA4D89" w:rsidRDefault="00FA4D89" w:rsidP="00B0555B">
      <w:pPr>
        <w:jc w:val="both"/>
      </w:pPr>
    </w:p>
    <w:p w:rsidR="00B0555B" w:rsidRDefault="00B0555B" w:rsidP="00B0555B">
      <w:pPr>
        <w:jc w:val="both"/>
      </w:pPr>
      <w:r>
        <w:t xml:space="preserve">5.4. Zhotovitel bere na vědomí, že je, včetně všech svých subdodavatelů, osobou povinnou spolupůsobit při výkonu finanční kontroly ve smyslu </w:t>
      </w:r>
      <w:proofErr w:type="spellStart"/>
      <w:r>
        <w:t>ust</w:t>
      </w:r>
      <w:proofErr w:type="spellEnd"/>
      <w:r>
        <w:t xml:space="preserve">. § 2 písm. e) zákona č. 320/2001 Sb., o finanční kontrole ve veřejné správě a o změně některých zákonů, v platném znění. </w:t>
      </w:r>
    </w:p>
    <w:p w:rsidR="00FA4D89" w:rsidRDefault="00FA4D89" w:rsidP="00B0555B">
      <w:pPr>
        <w:jc w:val="both"/>
      </w:pPr>
    </w:p>
    <w:p w:rsidR="00B0555B" w:rsidRDefault="00B0555B" w:rsidP="00B0555B">
      <w:pPr>
        <w:jc w:val="both"/>
      </w:pPr>
      <w:r>
        <w:t>5.5. Zhotovitel souhlasí a bere na vědomí, že tato smlouva včetně všech změn a dodatků bude zveřejněna na profilu zadavatele a na portálu registru smluv.</w:t>
      </w:r>
    </w:p>
    <w:p w:rsidR="00B0555B" w:rsidRDefault="00B0555B" w:rsidP="00B0555B">
      <w:pPr>
        <w:jc w:val="both"/>
      </w:pPr>
      <w:r>
        <w:t xml:space="preserve"> </w:t>
      </w:r>
    </w:p>
    <w:p w:rsidR="00B0555B" w:rsidRDefault="00B0555B" w:rsidP="00B0555B">
      <w:pPr>
        <w:jc w:val="both"/>
      </w:pPr>
    </w:p>
    <w:p w:rsidR="008171A5" w:rsidRDefault="008171A5" w:rsidP="00B0555B">
      <w:pPr>
        <w:jc w:val="center"/>
        <w:rPr>
          <w:b/>
          <w:sz w:val="22"/>
          <w:szCs w:val="22"/>
        </w:rPr>
      </w:pPr>
      <w:r>
        <w:rPr>
          <w:b/>
          <w:sz w:val="22"/>
          <w:szCs w:val="22"/>
        </w:rPr>
        <w:t xml:space="preserve">Článek </w:t>
      </w:r>
      <w:r w:rsidR="00B0555B" w:rsidRPr="008171A5">
        <w:rPr>
          <w:b/>
          <w:sz w:val="22"/>
          <w:szCs w:val="22"/>
        </w:rPr>
        <w:t>6.</w:t>
      </w:r>
      <w:r>
        <w:rPr>
          <w:b/>
          <w:sz w:val="22"/>
          <w:szCs w:val="22"/>
        </w:rPr>
        <w:t xml:space="preserve"> </w:t>
      </w:r>
    </w:p>
    <w:p w:rsidR="00B0555B" w:rsidRPr="008171A5" w:rsidRDefault="00B0555B" w:rsidP="00B0555B">
      <w:pPr>
        <w:jc w:val="center"/>
        <w:rPr>
          <w:b/>
          <w:sz w:val="22"/>
          <w:szCs w:val="22"/>
        </w:rPr>
      </w:pPr>
      <w:r w:rsidRPr="008171A5">
        <w:rPr>
          <w:b/>
          <w:sz w:val="22"/>
          <w:szCs w:val="22"/>
        </w:rPr>
        <w:t xml:space="preserve"> Doložka o </w:t>
      </w:r>
      <w:proofErr w:type="gramStart"/>
      <w:r w:rsidRPr="008171A5">
        <w:rPr>
          <w:b/>
          <w:sz w:val="22"/>
          <w:szCs w:val="22"/>
        </w:rPr>
        <w:t>bezúhonnosti  (integrity</w:t>
      </w:r>
      <w:proofErr w:type="gramEnd"/>
      <w:r w:rsidRPr="008171A5">
        <w:rPr>
          <w:b/>
          <w:sz w:val="22"/>
          <w:szCs w:val="22"/>
        </w:rPr>
        <w:t xml:space="preserve"> </w:t>
      </w:r>
      <w:proofErr w:type="spellStart"/>
      <w:r w:rsidRPr="008171A5">
        <w:rPr>
          <w:b/>
          <w:sz w:val="22"/>
          <w:szCs w:val="22"/>
        </w:rPr>
        <w:t>clause</w:t>
      </w:r>
      <w:proofErr w:type="spellEnd"/>
      <w:r w:rsidRPr="008171A5">
        <w:rPr>
          <w:b/>
          <w:sz w:val="22"/>
          <w:szCs w:val="22"/>
        </w:rPr>
        <w:t>)</w:t>
      </w:r>
    </w:p>
    <w:p w:rsidR="00B0555B" w:rsidRDefault="00B0555B" w:rsidP="00B0555B">
      <w:pPr>
        <w:jc w:val="center"/>
        <w:rPr>
          <w:b/>
        </w:rPr>
      </w:pPr>
    </w:p>
    <w:p w:rsidR="00B0555B" w:rsidRDefault="00B0555B" w:rsidP="002752A5">
      <w:pPr>
        <w:jc w:val="both"/>
      </w:pPr>
      <w:proofErr w:type="gramStart"/>
      <w:r>
        <w:t>6.1</w:t>
      </w:r>
      <w:proofErr w:type="gramEnd"/>
      <w:r>
        <w:t>.</w:t>
      </w:r>
      <w:r>
        <w:tab/>
        <w:t>Zhotovitel při podání nabídky prohlásil, že nabídka byla připravena v souladu se zásadami volné soutěže, poctivého obchodního styku a nestranností zhotovitele. Pokud by nestrannost zanikla během plnění smlouvy, musí o tom zhotovitel zadavatele neprodleně informovat.</w:t>
      </w:r>
    </w:p>
    <w:p w:rsidR="00FA4D89" w:rsidRDefault="00FA4D89" w:rsidP="00B0555B">
      <w:pPr>
        <w:jc w:val="both"/>
      </w:pPr>
    </w:p>
    <w:p w:rsidR="00B0555B" w:rsidRDefault="00B0555B" w:rsidP="00B0555B">
      <w:pPr>
        <w:jc w:val="both"/>
      </w:pPr>
      <w:proofErr w:type="gramStart"/>
      <w:r>
        <w:t>6.2</w:t>
      </w:r>
      <w:proofErr w:type="gramEnd"/>
      <w:r>
        <w:t>.</w:t>
      </w:r>
      <w:r>
        <w:tab/>
        <w:t xml:space="preserve">V případě, že vyjde najevo, že se zhotovitel v procesu přidělování veřejné zakázky či plnění smlouvy dopustil protiprávního jednání, jako jsou např. korupční, podvodné či donucovací praktiky, bude smlouva anulována. Pro účely tohoto ustanovení se korupčními, podvodnými či donucovacími </w:t>
      </w:r>
    </w:p>
    <w:p w:rsidR="00B0555B" w:rsidRDefault="00B0555B" w:rsidP="00B0555B">
      <w:pPr>
        <w:jc w:val="both"/>
      </w:pPr>
      <w:r>
        <w:t>praktikami rozumí např. nabídka úplatku, daru, odměny či provize jakékoli osobě za účelem ji motivovat, nebo jí naopak ohrožoval či vyhrožovat jakoukoli újmou, aby vykonala, či naopak nevykonala takový čin, který může ovlivnit přidělování veřejné zakázky nebo plnění již uzavřené smlouvy.</w:t>
      </w:r>
    </w:p>
    <w:p w:rsidR="00FA4D89" w:rsidRDefault="00FA4D89" w:rsidP="00B0555B">
      <w:pPr>
        <w:jc w:val="both"/>
      </w:pPr>
    </w:p>
    <w:p w:rsidR="00B0555B" w:rsidRDefault="00B0555B" w:rsidP="00B0555B">
      <w:pPr>
        <w:jc w:val="both"/>
      </w:pPr>
      <w:proofErr w:type="gramStart"/>
      <w:r>
        <w:t>6.3</w:t>
      </w:r>
      <w:proofErr w:type="gramEnd"/>
      <w:r>
        <w:t>.</w:t>
      </w:r>
      <w:r>
        <w:tab/>
        <w:t>Smlouva může být rovněž zrušena, dojde-li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B0555B" w:rsidRDefault="00B0555B" w:rsidP="00B0555B">
      <w:pPr>
        <w:jc w:val="both"/>
      </w:pPr>
    </w:p>
    <w:p w:rsidR="008171A5" w:rsidRDefault="008171A5" w:rsidP="008171A5">
      <w:pPr>
        <w:pStyle w:val="xl29"/>
        <w:spacing w:before="0" w:beforeAutospacing="0" w:after="0" w:afterAutospacing="0"/>
        <w:ind w:left="357"/>
        <w:jc w:val="center"/>
        <w:rPr>
          <w:rFonts w:eastAsia="Times New Roman" w:cs="Times New Roman"/>
          <w:bCs w:val="0"/>
          <w:snapToGrid w:val="0"/>
          <w:sz w:val="22"/>
          <w:szCs w:val="22"/>
          <w:lang w:eastAsia="en-US"/>
        </w:rPr>
      </w:pPr>
      <w:r>
        <w:rPr>
          <w:rFonts w:eastAsia="Times New Roman" w:cs="Times New Roman"/>
          <w:bCs w:val="0"/>
          <w:snapToGrid w:val="0"/>
          <w:sz w:val="22"/>
          <w:szCs w:val="22"/>
          <w:lang w:eastAsia="en-US"/>
        </w:rPr>
        <w:t xml:space="preserve">Článek </w:t>
      </w:r>
      <w:r w:rsidR="00B0555B">
        <w:rPr>
          <w:rFonts w:eastAsia="Times New Roman" w:cs="Times New Roman"/>
          <w:bCs w:val="0"/>
          <w:snapToGrid w:val="0"/>
          <w:sz w:val="22"/>
          <w:szCs w:val="22"/>
          <w:lang w:eastAsia="en-US"/>
        </w:rPr>
        <w:t>7.</w:t>
      </w:r>
    </w:p>
    <w:p w:rsidR="00B0555B" w:rsidRDefault="00B0555B" w:rsidP="008171A5">
      <w:pPr>
        <w:pStyle w:val="xl29"/>
        <w:spacing w:before="0" w:beforeAutospacing="0" w:after="0" w:afterAutospacing="0"/>
        <w:ind w:left="357"/>
        <w:jc w:val="center"/>
        <w:rPr>
          <w:rFonts w:eastAsia="Times New Roman" w:cs="Times New Roman"/>
          <w:bCs w:val="0"/>
          <w:snapToGrid w:val="0"/>
          <w:sz w:val="22"/>
          <w:szCs w:val="22"/>
          <w:lang w:eastAsia="en-US"/>
        </w:rPr>
      </w:pPr>
      <w:r>
        <w:rPr>
          <w:rFonts w:eastAsia="Times New Roman" w:cs="Times New Roman"/>
          <w:bCs w:val="0"/>
          <w:snapToGrid w:val="0"/>
          <w:sz w:val="22"/>
          <w:szCs w:val="22"/>
          <w:lang w:eastAsia="en-US"/>
        </w:rPr>
        <w:t xml:space="preserve"> Kontroly a audity</w:t>
      </w:r>
      <w:bookmarkStart w:id="0" w:name="_GoBack"/>
      <w:bookmarkEnd w:id="0"/>
    </w:p>
    <w:p w:rsidR="00FA4D89" w:rsidRDefault="00FA4D89" w:rsidP="00B0555B">
      <w:pPr>
        <w:jc w:val="both"/>
      </w:pPr>
    </w:p>
    <w:p w:rsidR="00B0555B" w:rsidRDefault="00B0555B" w:rsidP="00B0555B">
      <w:pPr>
        <w:jc w:val="both"/>
      </w:pPr>
      <w:r>
        <w:t xml:space="preserve">7.1. Zhotovitel umožní zadavateli, poskytovateli dotace či jiným příslušným institucím ověřit realizaci projektu prostřednictvím přezkoumání dokumentů nebo kontrol na místě plnění a v případě nutnosti provést kompletní audit na základě podkladových materiál k účtům, účetním dokladům a veškerým dalším dokladům týkajícím se financování projektu. Tyto kontroly se mohou uskutečnit do </w:t>
      </w:r>
      <w:proofErr w:type="gramStart"/>
      <w:r>
        <w:t>10-ti</w:t>
      </w:r>
      <w:proofErr w:type="gramEnd"/>
      <w:r>
        <w:t xml:space="preserve"> let po uskutečnění závěrečné platby.</w:t>
      </w:r>
    </w:p>
    <w:p w:rsidR="00FA4D89" w:rsidRDefault="00FA4D89" w:rsidP="00B0555B">
      <w:pPr>
        <w:jc w:val="both"/>
      </w:pPr>
    </w:p>
    <w:p w:rsidR="00B0555B" w:rsidRDefault="00B0555B" w:rsidP="00B0555B">
      <w:pPr>
        <w:jc w:val="both"/>
      </w:pPr>
      <w:r>
        <w:lastRenderedPageBreak/>
        <w:t>7.2. 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B0555B" w:rsidRDefault="00B0555B" w:rsidP="00B0555B">
      <w:pPr>
        <w:jc w:val="both"/>
      </w:pPr>
    </w:p>
    <w:p w:rsidR="00B0555B" w:rsidRDefault="00B0555B" w:rsidP="00B0555B">
      <w:pPr>
        <w:jc w:val="center"/>
        <w:rPr>
          <w:b/>
        </w:rPr>
      </w:pPr>
    </w:p>
    <w:p w:rsidR="008171A5" w:rsidRPr="008171A5" w:rsidRDefault="008171A5" w:rsidP="00B0555B">
      <w:pPr>
        <w:jc w:val="center"/>
        <w:rPr>
          <w:b/>
          <w:sz w:val="22"/>
          <w:szCs w:val="22"/>
        </w:rPr>
      </w:pPr>
      <w:r w:rsidRPr="008171A5">
        <w:rPr>
          <w:b/>
          <w:sz w:val="22"/>
          <w:szCs w:val="22"/>
        </w:rPr>
        <w:t xml:space="preserve">Článek </w:t>
      </w:r>
      <w:r w:rsidR="00B0555B" w:rsidRPr="008171A5">
        <w:rPr>
          <w:b/>
          <w:sz w:val="22"/>
          <w:szCs w:val="22"/>
        </w:rPr>
        <w:t>8.</w:t>
      </w:r>
    </w:p>
    <w:p w:rsidR="00B0555B" w:rsidRPr="008171A5" w:rsidRDefault="00B0555B" w:rsidP="00B0555B">
      <w:pPr>
        <w:jc w:val="center"/>
        <w:rPr>
          <w:b/>
          <w:sz w:val="22"/>
          <w:szCs w:val="22"/>
        </w:rPr>
      </w:pPr>
      <w:r w:rsidRPr="008171A5">
        <w:rPr>
          <w:b/>
          <w:sz w:val="22"/>
          <w:szCs w:val="22"/>
        </w:rPr>
        <w:t xml:space="preserve"> Závěrečná ustanovení</w:t>
      </w:r>
    </w:p>
    <w:p w:rsidR="00B0555B" w:rsidRDefault="00B0555B" w:rsidP="00B0555B">
      <w:pPr>
        <w:jc w:val="center"/>
        <w:rPr>
          <w:b/>
        </w:rPr>
      </w:pPr>
    </w:p>
    <w:p w:rsidR="00B0555B" w:rsidRDefault="00B0555B" w:rsidP="00B0555B">
      <w:pPr>
        <w:jc w:val="both"/>
      </w:pPr>
      <w:r>
        <w:t>8.1. Tato smlouva je vydaná ve čtyřech originálech, tři stejnopisy obdrží objednatel, jeden stejnopis zhotovitel.</w:t>
      </w:r>
    </w:p>
    <w:p w:rsidR="00FA4D89" w:rsidRDefault="00FA4D89" w:rsidP="00B0555B">
      <w:pPr>
        <w:jc w:val="both"/>
      </w:pPr>
    </w:p>
    <w:p w:rsidR="00B0555B" w:rsidRDefault="00B0555B" w:rsidP="00B0555B">
      <w:pPr>
        <w:jc w:val="both"/>
      </w:pPr>
      <w:r>
        <w:t xml:space="preserve">8.2. Tato smlouva je platná </w:t>
      </w:r>
      <w:r w:rsidR="008171A5">
        <w:t xml:space="preserve">dnem podpisu obou smluvních stran a účinná dnem zveřejnění v registru smluv. </w:t>
      </w:r>
    </w:p>
    <w:p w:rsidR="00FA4D89" w:rsidRDefault="00FA4D89" w:rsidP="00B0555B">
      <w:pPr>
        <w:jc w:val="both"/>
      </w:pPr>
    </w:p>
    <w:p w:rsidR="00B0555B" w:rsidRDefault="00B0555B" w:rsidP="00B0555B">
      <w:pPr>
        <w:jc w:val="both"/>
      </w:pPr>
      <w:r>
        <w:t xml:space="preserve">8.3. Tato smlouva se mění pouze po dohodě obou stran písemně a formou číslovaných dodatků k této smlouvě. Opravy textu platí jen, byly-li parafovány oběma smluvními stranami </w:t>
      </w:r>
    </w:p>
    <w:p w:rsidR="00FA4D89" w:rsidRDefault="00FA4D89" w:rsidP="00B0555B">
      <w:pPr>
        <w:jc w:val="both"/>
      </w:pPr>
    </w:p>
    <w:p w:rsidR="00B0555B" w:rsidRDefault="00B0555B" w:rsidP="00B0555B">
      <w:pPr>
        <w:jc w:val="both"/>
      </w:pPr>
      <w:r>
        <w:t xml:space="preserve">8.4. Tato smlouva byla uzavřena na základě souhlasu obou smluvních stran s obsahem všech smluvních článků. </w:t>
      </w:r>
    </w:p>
    <w:p w:rsidR="00B0555B" w:rsidRDefault="00B0555B" w:rsidP="00B0555B"/>
    <w:p w:rsidR="00B0555B" w:rsidRDefault="00B0555B" w:rsidP="00B0555B">
      <w:r>
        <w:t xml:space="preserve">Příloha </w:t>
      </w:r>
      <w:proofErr w:type="gramStart"/>
      <w:r>
        <w:t>č. 1 –  Krycí</w:t>
      </w:r>
      <w:proofErr w:type="gramEnd"/>
      <w:r>
        <w:t xml:space="preserve"> list</w:t>
      </w:r>
    </w:p>
    <w:p w:rsidR="00B0555B" w:rsidRDefault="00B0555B" w:rsidP="00B0555B"/>
    <w:p w:rsidR="00FA4D89" w:rsidRDefault="00FA4D89" w:rsidP="00B0555B"/>
    <w:p w:rsidR="00B0555B" w:rsidRDefault="00B0555B" w:rsidP="00B0555B">
      <w:r>
        <w:rPr>
          <w:vertAlign w:val="superscript"/>
        </w:rPr>
        <w:t>1</w:t>
      </w:r>
      <w:r>
        <w:t>)</w:t>
      </w:r>
    </w:p>
    <w:p w:rsidR="00B0555B" w:rsidRDefault="00B0555B" w:rsidP="00B0555B">
      <w:r>
        <w:t xml:space="preserve">Ve Vrchlabí </w:t>
      </w:r>
      <w:proofErr w:type="gramStart"/>
      <w:r>
        <w:t xml:space="preserve">dne                                                 </w:t>
      </w:r>
      <w:r>
        <w:tab/>
        <w:t>V               dne</w:t>
      </w:r>
      <w:proofErr w:type="gramEnd"/>
      <w:r>
        <w:t xml:space="preserve"> </w:t>
      </w:r>
    </w:p>
    <w:p w:rsidR="00B0555B" w:rsidRDefault="00B0555B" w:rsidP="00B0555B"/>
    <w:p w:rsidR="00B0555B" w:rsidRDefault="00B0555B" w:rsidP="00B0555B"/>
    <w:p w:rsidR="00B0555B" w:rsidRDefault="00B0555B" w:rsidP="00B0555B"/>
    <w:p w:rsidR="00B0555B" w:rsidRDefault="00B0555B" w:rsidP="00B0555B"/>
    <w:p w:rsidR="00B0555B" w:rsidRDefault="00B0555B" w:rsidP="00B0555B"/>
    <w:p w:rsidR="00B0555B" w:rsidRDefault="00B0555B" w:rsidP="00B0555B"/>
    <w:p w:rsidR="00B0555B" w:rsidRDefault="00B0555B" w:rsidP="00B0555B">
      <w:r>
        <w:t>……………………………………………………</w:t>
      </w:r>
      <w:r>
        <w:tab/>
        <w:t>……………………………………………………</w:t>
      </w:r>
    </w:p>
    <w:p w:rsidR="00B0555B" w:rsidRDefault="00B0555B" w:rsidP="00B0555B">
      <w:r>
        <w:t xml:space="preserve">Ing. Jan Hřebačka      </w:t>
      </w:r>
      <w:r>
        <w:tab/>
      </w:r>
      <w:r>
        <w:tab/>
      </w:r>
      <w:r>
        <w:tab/>
      </w:r>
      <w:r w:rsidR="008171A5">
        <w:t xml:space="preserve">                                  </w:t>
      </w:r>
      <w:r>
        <w:t>zhotovitel</w:t>
      </w:r>
    </w:p>
    <w:p w:rsidR="004572C5" w:rsidRDefault="00B0555B" w:rsidP="00B0555B">
      <w:r>
        <w:t xml:space="preserve">ředitel        </w:t>
      </w:r>
    </w:p>
    <w:sectPr w:rsidR="004572C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A3E" w:rsidRDefault="00E37A3E" w:rsidP="00B0555B">
      <w:r>
        <w:separator/>
      </w:r>
    </w:p>
  </w:endnote>
  <w:endnote w:type="continuationSeparator" w:id="0">
    <w:p w:rsidR="00E37A3E" w:rsidRDefault="00E37A3E" w:rsidP="00B0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A3E" w:rsidRDefault="00E37A3E" w:rsidP="00B0555B">
      <w:r>
        <w:separator/>
      </w:r>
    </w:p>
  </w:footnote>
  <w:footnote w:type="continuationSeparator" w:id="0">
    <w:p w:rsidR="00E37A3E" w:rsidRDefault="00E37A3E" w:rsidP="00B05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55B" w:rsidRDefault="00B0555B" w:rsidP="00B0555B">
    <w:pPr>
      <w:pStyle w:val="Zhlav"/>
      <w:jc w:val="center"/>
    </w:pPr>
    <w:r w:rsidRPr="004329DF">
      <w:rPr>
        <w:noProof/>
        <w:lang w:eastAsia="cs-CZ"/>
      </w:rPr>
      <w:drawing>
        <wp:inline distT="0" distB="0" distL="0" distR="0">
          <wp:extent cx="6010275" cy="5810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0275" cy="581025"/>
                  </a:xfrm>
                  <a:prstGeom prst="rect">
                    <a:avLst/>
                  </a:prstGeom>
                  <a:noFill/>
                  <a:ln>
                    <a:noFill/>
                  </a:ln>
                </pic:spPr>
              </pic:pic>
            </a:graphicData>
          </a:graphic>
        </wp:inline>
      </w:drawing>
    </w:r>
  </w:p>
  <w:p w:rsidR="00B0555B" w:rsidRDefault="00B0555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B19DC"/>
    <w:multiLevelType w:val="multilevel"/>
    <w:tmpl w:val="8BDAA67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5B"/>
    <w:rsid w:val="000A08B5"/>
    <w:rsid w:val="002752A5"/>
    <w:rsid w:val="002B251B"/>
    <w:rsid w:val="00420BD0"/>
    <w:rsid w:val="004572C5"/>
    <w:rsid w:val="00550190"/>
    <w:rsid w:val="008171A5"/>
    <w:rsid w:val="00B0555B"/>
    <w:rsid w:val="00C273F4"/>
    <w:rsid w:val="00CB5CE5"/>
    <w:rsid w:val="00E37A3E"/>
    <w:rsid w:val="00FA4D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1A1F1-187A-44C8-B624-D10CB6B57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0555B"/>
    <w:pPr>
      <w:spacing w:after="0" w:line="240" w:lineRule="auto"/>
    </w:pPr>
    <w:rPr>
      <w:rFonts w:ascii="Arial" w:eastAsia="Arial" w:hAnsi="Arial" w:cs="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basedOn w:val="Normln"/>
    <w:rsid w:val="00B0555B"/>
    <w:rPr>
      <w:rFonts w:ascii="Times New Roman" w:eastAsia="Times New Roman" w:hAnsi="Times New Roman"/>
      <w:lang w:eastAsia="cs-CZ"/>
    </w:rPr>
  </w:style>
  <w:style w:type="paragraph" w:customStyle="1" w:styleId="Zkladntext1">
    <w:name w:val="Základní text1"/>
    <w:basedOn w:val="Normln1"/>
    <w:rsid w:val="00B0555B"/>
    <w:rPr>
      <w:sz w:val="24"/>
    </w:rPr>
  </w:style>
  <w:style w:type="paragraph" w:customStyle="1" w:styleId="xl29">
    <w:name w:val="xl29"/>
    <w:basedOn w:val="Normln"/>
    <w:rsid w:val="00B0555B"/>
    <w:pPr>
      <w:spacing w:before="100" w:beforeAutospacing="1" w:after="100" w:afterAutospacing="1"/>
    </w:pPr>
    <w:rPr>
      <w:rFonts w:eastAsia="Arial Unicode MS"/>
      <w:b/>
      <w:bCs/>
      <w:sz w:val="24"/>
      <w:szCs w:val="24"/>
      <w:lang w:eastAsia="cs-CZ"/>
    </w:rPr>
  </w:style>
  <w:style w:type="paragraph" w:styleId="Zhlav">
    <w:name w:val="header"/>
    <w:basedOn w:val="Normln"/>
    <w:link w:val="ZhlavChar"/>
    <w:uiPriority w:val="99"/>
    <w:unhideWhenUsed/>
    <w:rsid w:val="00B0555B"/>
    <w:pPr>
      <w:tabs>
        <w:tab w:val="center" w:pos="4536"/>
        <w:tab w:val="right" w:pos="9072"/>
      </w:tabs>
    </w:pPr>
  </w:style>
  <w:style w:type="character" w:customStyle="1" w:styleId="ZhlavChar">
    <w:name w:val="Záhlaví Char"/>
    <w:basedOn w:val="Standardnpsmoodstavce"/>
    <w:link w:val="Zhlav"/>
    <w:uiPriority w:val="99"/>
    <w:rsid w:val="00B0555B"/>
    <w:rPr>
      <w:rFonts w:ascii="Arial" w:eastAsia="Arial" w:hAnsi="Arial" w:cs="Arial"/>
      <w:sz w:val="20"/>
      <w:szCs w:val="20"/>
    </w:rPr>
  </w:style>
  <w:style w:type="paragraph" w:styleId="Zpat">
    <w:name w:val="footer"/>
    <w:basedOn w:val="Normln"/>
    <w:link w:val="ZpatChar"/>
    <w:uiPriority w:val="99"/>
    <w:unhideWhenUsed/>
    <w:rsid w:val="00B0555B"/>
    <w:pPr>
      <w:tabs>
        <w:tab w:val="center" w:pos="4536"/>
        <w:tab w:val="right" w:pos="9072"/>
      </w:tabs>
    </w:pPr>
  </w:style>
  <w:style w:type="character" w:customStyle="1" w:styleId="ZpatChar">
    <w:name w:val="Zápatí Char"/>
    <w:basedOn w:val="Standardnpsmoodstavce"/>
    <w:link w:val="Zpat"/>
    <w:uiPriority w:val="99"/>
    <w:rsid w:val="00B0555B"/>
    <w:rPr>
      <w:rFonts w:ascii="Arial" w:eastAsia="Arial" w:hAnsi="Arial" w:cs="Arial"/>
      <w:sz w:val="20"/>
      <w:szCs w:val="20"/>
    </w:rPr>
  </w:style>
  <w:style w:type="table" w:styleId="Mkatabulky">
    <w:name w:val="Table Grid"/>
    <w:basedOn w:val="Normlntabulka"/>
    <w:uiPriority w:val="39"/>
    <w:rsid w:val="000A08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3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1284</Words>
  <Characters>7576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kkynclova</dc:creator>
  <cp:keywords/>
  <dc:description/>
  <cp:lastModifiedBy>kkynclova</cp:lastModifiedBy>
  <cp:revision>3</cp:revision>
  <dcterms:created xsi:type="dcterms:W3CDTF">2017-08-08T11:52:00Z</dcterms:created>
  <dcterms:modified xsi:type="dcterms:W3CDTF">2017-08-08T11:54:00Z</dcterms:modified>
</cp:coreProperties>
</file>