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2DC" w:rsidRPr="00833F94" w:rsidRDefault="006C12DC" w:rsidP="006C12DC">
      <w:pPr>
        <w:spacing w:after="120"/>
        <w:jc w:val="both"/>
        <w:rPr>
          <w:rFonts w:ascii="Arial" w:hAnsi="Arial" w:cs="Arial"/>
          <w:b/>
        </w:rPr>
      </w:pPr>
      <w:r w:rsidRPr="00833F94">
        <w:rPr>
          <w:rFonts w:ascii="Arial" w:hAnsi="Arial" w:cs="Arial"/>
          <w:b/>
        </w:rPr>
        <w:t xml:space="preserve">PŘÍLOHA Č. </w:t>
      </w:r>
      <w:r>
        <w:rPr>
          <w:rFonts w:ascii="Arial" w:hAnsi="Arial" w:cs="Arial"/>
          <w:b/>
        </w:rPr>
        <w:t>8</w:t>
      </w:r>
      <w:r w:rsidRPr="00833F94">
        <w:rPr>
          <w:rFonts w:ascii="Arial" w:hAnsi="Arial" w:cs="Arial"/>
          <w:b/>
        </w:rPr>
        <w:t xml:space="preserve"> – ZÁVAZNÉ TECHNICKÉ PARAMETRY PŘEDMĚTU VEŘEJNÉ ZAKÁZKY</w:t>
      </w:r>
    </w:p>
    <w:p w:rsidR="006C12DC" w:rsidRPr="00833F94" w:rsidRDefault="006C12DC" w:rsidP="006C12DC">
      <w:pPr>
        <w:spacing w:after="120"/>
        <w:jc w:val="both"/>
        <w:rPr>
          <w:rFonts w:ascii="Arial" w:hAnsi="Arial" w:cs="Arial"/>
        </w:rPr>
      </w:pPr>
    </w:p>
    <w:p w:rsidR="006C12DC" w:rsidRPr="00833F94" w:rsidRDefault="006C12DC" w:rsidP="006C12DC">
      <w:pPr>
        <w:spacing w:after="0"/>
        <w:jc w:val="both"/>
        <w:rPr>
          <w:rFonts w:ascii="Arial" w:hAnsi="Arial" w:cs="Arial"/>
        </w:rPr>
      </w:pPr>
      <w:r w:rsidRPr="00833F94">
        <w:rPr>
          <w:rFonts w:ascii="Arial" w:hAnsi="Arial" w:cs="Arial"/>
        </w:rPr>
        <w:t>V následující tabulce je uveden výčet závazných parametrů poptávaného řešení včetně jejich popisu. Bezvýhradní naplnění těchto parametrů je nutnou podmínkou pro další hodnocení nabídek. Nabídky, které prokazatelným způsobem nenaplní závazné parametry, nebudou hodnoceny a budou ze</w:t>
      </w:r>
      <w:r>
        <w:rPr>
          <w:rFonts w:ascii="Arial" w:hAnsi="Arial" w:cs="Arial"/>
        </w:rPr>
        <w:t xml:space="preserve"> </w:t>
      </w:r>
      <w:r w:rsidRPr="00833F94">
        <w:rPr>
          <w:rFonts w:ascii="Arial" w:hAnsi="Arial" w:cs="Arial"/>
        </w:rPr>
        <w:t>zadávacího řízení vyřazeny.</w:t>
      </w:r>
    </w:p>
    <w:tbl>
      <w:tblPr>
        <w:tblpPr w:leftFromText="180" w:rightFromText="180" w:vertAnchor="text" w:horzAnchor="margin" w:tblpXSpec="center" w:tblpY="316"/>
        <w:tblW w:w="9106" w:type="dxa"/>
        <w:tblLook w:val="04A0" w:firstRow="1" w:lastRow="0" w:firstColumn="1" w:lastColumn="0" w:noHBand="0" w:noVBand="1"/>
      </w:tblPr>
      <w:tblGrid>
        <w:gridCol w:w="2376"/>
        <w:gridCol w:w="3895"/>
        <w:gridCol w:w="2835"/>
      </w:tblGrid>
      <w:tr w:rsidR="006C12DC" w:rsidRPr="00833F94" w:rsidTr="00B7701D">
        <w:trPr>
          <w:trHeight w:val="220"/>
        </w:trPr>
        <w:tc>
          <w:tcPr>
            <w:tcW w:w="2376" w:type="dxa"/>
            <w:tcBorders>
              <w:top w:val="single" w:sz="4" w:space="0" w:color="auto"/>
              <w:left w:val="single" w:sz="4" w:space="0" w:color="auto"/>
              <w:bottom w:val="single" w:sz="4" w:space="0" w:color="auto"/>
              <w:right w:val="single" w:sz="4" w:space="0" w:color="auto"/>
            </w:tcBorders>
            <w:shd w:val="clear" w:color="000000" w:fill="366092"/>
            <w:vAlign w:val="center"/>
            <w:hideMark/>
          </w:tcPr>
          <w:p w:rsidR="006C12DC" w:rsidRPr="00833F94" w:rsidRDefault="006C12DC" w:rsidP="00B7701D">
            <w:pPr>
              <w:spacing w:before="120" w:after="120" w:line="240" w:lineRule="auto"/>
              <w:rPr>
                <w:rFonts w:ascii="Arial" w:hAnsi="Arial" w:cs="Arial"/>
                <w:b/>
                <w:color w:val="FFFFFF" w:themeColor="background1"/>
              </w:rPr>
            </w:pPr>
            <w:r w:rsidRPr="00833F94">
              <w:rPr>
                <w:rFonts w:ascii="Arial" w:hAnsi="Arial" w:cs="Arial"/>
                <w:b/>
                <w:color w:val="FFFFFF" w:themeColor="background1"/>
              </w:rPr>
              <w:t>Název parametru</w:t>
            </w:r>
          </w:p>
        </w:tc>
        <w:tc>
          <w:tcPr>
            <w:tcW w:w="3895" w:type="dxa"/>
            <w:tcBorders>
              <w:top w:val="single" w:sz="4" w:space="0" w:color="auto"/>
              <w:left w:val="nil"/>
              <w:bottom w:val="single" w:sz="4" w:space="0" w:color="auto"/>
              <w:right w:val="single" w:sz="4" w:space="0" w:color="auto"/>
            </w:tcBorders>
            <w:shd w:val="clear" w:color="000000" w:fill="366092"/>
            <w:vAlign w:val="center"/>
            <w:hideMark/>
          </w:tcPr>
          <w:p w:rsidR="006C12DC" w:rsidRPr="00833F94" w:rsidRDefault="006C12DC" w:rsidP="00B7701D">
            <w:pPr>
              <w:spacing w:before="120" w:after="120" w:line="240" w:lineRule="auto"/>
              <w:rPr>
                <w:rFonts w:ascii="Arial" w:hAnsi="Arial" w:cs="Arial"/>
                <w:b/>
                <w:color w:val="FFFFFF" w:themeColor="background1"/>
              </w:rPr>
            </w:pPr>
            <w:r w:rsidRPr="00833F94">
              <w:rPr>
                <w:rFonts w:ascii="Arial" w:hAnsi="Arial" w:cs="Arial"/>
                <w:b/>
                <w:color w:val="FFFFFF" w:themeColor="background1"/>
              </w:rPr>
              <w:t>Popis požadované funkcionality</w:t>
            </w:r>
          </w:p>
        </w:tc>
        <w:tc>
          <w:tcPr>
            <w:tcW w:w="2835" w:type="dxa"/>
            <w:tcBorders>
              <w:top w:val="single" w:sz="4" w:space="0" w:color="auto"/>
              <w:left w:val="nil"/>
              <w:bottom w:val="single" w:sz="4" w:space="0" w:color="auto"/>
              <w:right w:val="single" w:sz="4" w:space="0" w:color="auto"/>
            </w:tcBorders>
            <w:shd w:val="clear" w:color="000000" w:fill="366092"/>
            <w:noWrap/>
            <w:vAlign w:val="center"/>
            <w:hideMark/>
          </w:tcPr>
          <w:p w:rsidR="006C12DC" w:rsidRPr="00833F94" w:rsidRDefault="006C12DC" w:rsidP="00B7701D">
            <w:pPr>
              <w:spacing w:before="120" w:after="120" w:line="240" w:lineRule="auto"/>
              <w:rPr>
                <w:rFonts w:ascii="Arial" w:hAnsi="Arial" w:cs="Arial"/>
                <w:b/>
                <w:color w:val="FFFFFF" w:themeColor="background1"/>
              </w:rPr>
            </w:pPr>
            <w:r w:rsidRPr="00833F94">
              <w:rPr>
                <w:rFonts w:ascii="Arial" w:hAnsi="Arial" w:cs="Arial"/>
                <w:b/>
                <w:color w:val="FFFFFF" w:themeColor="background1"/>
              </w:rPr>
              <w:t>Detailní popis způsobu naplnění</w:t>
            </w:r>
          </w:p>
        </w:tc>
      </w:tr>
      <w:tr w:rsidR="006C12DC" w:rsidRPr="00833F94" w:rsidTr="00B7701D">
        <w:trPr>
          <w:trHeight w:val="629"/>
        </w:trPr>
        <w:tc>
          <w:tcPr>
            <w:tcW w:w="2376" w:type="dxa"/>
            <w:tcBorders>
              <w:top w:val="nil"/>
              <w:left w:val="single" w:sz="4" w:space="0" w:color="auto"/>
              <w:bottom w:val="single" w:sz="4" w:space="0" w:color="auto"/>
              <w:right w:val="single" w:sz="4" w:space="0" w:color="auto"/>
            </w:tcBorders>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Definice nových zdrojů dat</w:t>
            </w:r>
          </w:p>
        </w:tc>
        <w:tc>
          <w:tcPr>
            <w:tcW w:w="3895" w:type="dxa"/>
            <w:tcBorders>
              <w:top w:val="nil"/>
              <w:left w:val="nil"/>
              <w:bottom w:val="single" w:sz="4" w:space="0" w:color="auto"/>
              <w:right w:val="single" w:sz="4" w:space="0" w:color="auto"/>
            </w:tcBorders>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Posky</w:t>
            </w:r>
            <w:r>
              <w:rPr>
                <w:rFonts w:ascii="Arial" w:hAnsi="Arial" w:cs="Arial"/>
              </w:rPr>
              <w:t>tovatel služby umožní vložení a </w:t>
            </w:r>
            <w:r w:rsidRPr="00833F94">
              <w:rPr>
                <w:rFonts w:ascii="Arial" w:hAnsi="Arial" w:cs="Arial"/>
              </w:rPr>
              <w:t>definici nového zdroje dat, jehož extrakce bude následně součástí poskytovaných datových výstupů</w:t>
            </w:r>
          </w:p>
        </w:tc>
        <w:tc>
          <w:tcPr>
            <w:tcW w:w="2835" w:type="dxa"/>
            <w:tcBorders>
              <w:top w:val="nil"/>
              <w:left w:val="nil"/>
              <w:bottom w:val="single" w:sz="4" w:space="0" w:color="auto"/>
              <w:right w:val="single" w:sz="4" w:space="0" w:color="auto"/>
            </w:tcBorders>
            <w:shd w:val="clear" w:color="000000" w:fill="DCE6F1"/>
            <w:noWrap/>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 </w:t>
            </w:r>
          </w:p>
        </w:tc>
      </w:tr>
      <w:tr w:rsidR="006C12DC" w:rsidRPr="00833F94" w:rsidTr="00B7701D">
        <w:trPr>
          <w:trHeight w:val="419"/>
        </w:trPr>
        <w:tc>
          <w:tcPr>
            <w:tcW w:w="2376" w:type="dxa"/>
            <w:tcBorders>
              <w:top w:val="nil"/>
              <w:left w:val="single" w:sz="4" w:space="0" w:color="auto"/>
              <w:bottom w:val="single" w:sz="4" w:space="0" w:color="auto"/>
              <w:right w:val="single" w:sz="4" w:space="0" w:color="auto"/>
            </w:tcBorders>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Požadované výstupy služby</w:t>
            </w:r>
          </w:p>
        </w:tc>
        <w:tc>
          <w:tcPr>
            <w:tcW w:w="3895" w:type="dxa"/>
            <w:tcBorders>
              <w:top w:val="nil"/>
              <w:left w:val="nil"/>
              <w:bottom w:val="single" w:sz="4" w:space="0" w:color="auto"/>
              <w:right w:val="single" w:sz="4" w:space="0" w:color="auto"/>
            </w:tcBorders>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Popis způsobu zajištění výstupu extrakčních dat ve formátech XML, CSV, JSON</w:t>
            </w:r>
          </w:p>
        </w:tc>
        <w:tc>
          <w:tcPr>
            <w:tcW w:w="2835" w:type="dxa"/>
            <w:tcBorders>
              <w:top w:val="nil"/>
              <w:left w:val="nil"/>
              <w:bottom w:val="single" w:sz="4" w:space="0" w:color="auto"/>
              <w:right w:val="single" w:sz="4" w:space="0" w:color="auto"/>
            </w:tcBorders>
            <w:shd w:val="clear" w:color="000000" w:fill="F2F2F2"/>
            <w:noWrap/>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 </w:t>
            </w:r>
          </w:p>
        </w:tc>
      </w:tr>
      <w:tr w:rsidR="006C12DC" w:rsidRPr="00833F94" w:rsidTr="00B7701D">
        <w:trPr>
          <w:trHeight w:val="419"/>
        </w:trPr>
        <w:tc>
          <w:tcPr>
            <w:tcW w:w="2376" w:type="dxa"/>
            <w:tcBorders>
              <w:top w:val="nil"/>
              <w:left w:val="single" w:sz="4" w:space="0" w:color="auto"/>
              <w:bottom w:val="single" w:sz="4" w:space="0" w:color="auto"/>
              <w:right w:val="single" w:sz="4" w:space="0" w:color="auto"/>
            </w:tcBorders>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Extrakce http i https stránek</w:t>
            </w:r>
          </w:p>
        </w:tc>
        <w:tc>
          <w:tcPr>
            <w:tcW w:w="3895" w:type="dxa"/>
            <w:tcBorders>
              <w:top w:val="nil"/>
              <w:left w:val="nil"/>
              <w:bottom w:val="single" w:sz="4" w:space="0" w:color="auto"/>
              <w:right w:val="single" w:sz="4" w:space="0" w:color="auto"/>
            </w:tcBorders>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Extrakce dat musí umožňovat práci se zabezpečeným protokolem HTTPS</w:t>
            </w:r>
          </w:p>
        </w:tc>
        <w:tc>
          <w:tcPr>
            <w:tcW w:w="2835" w:type="dxa"/>
            <w:tcBorders>
              <w:top w:val="nil"/>
              <w:left w:val="nil"/>
              <w:bottom w:val="single" w:sz="4" w:space="0" w:color="auto"/>
              <w:right w:val="single" w:sz="4" w:space="0" w:color="auto"/>
            </w:tcBorders>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B7701D">
        <w:trPr>
          <w:trHeight w:val="629"/>
        </w:trPr>
        <w:tc>
          <w:tcPr>
            <w:tcW w:w="2376" w:type="dxa"/>
            <w:tcBorders>
              <w:top w:val="nil"/>
              <w:left w:val="single" w:sz="4" w:space="0" w:color="auto"/>
              <w:bottom w:val="single" w:sz="4" w:space="0" w:color="auto"/>
              <w:right w:val="single" w:sz="4" w:space="0" w:color="auto"/>
            </w:tcBorders>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 xml:space="preserve">Extrakce </w:t>
            </w:r>
            <w:proofErr w:type="spellStart"/>
            <w:r w:rsidRPr="00833F94">
              <w:rPr>
                <w:rFonts w:ascii="Arial" w:hAnsi="Arial" w:cs="Arial"/>
              </w:rPr>
              <w:t>nezaheslovaných</w:t>
            </w:r>
            <w:proofErr w:type="spellEnd"/>
            <w:r w:rsidRPr="00833F94">
              <w:rPr>
                <w:rFonts w:ascii="Arial" w:hAnsi="Arial" w:cs="Arial"/>
              </w:rPr>
              <w:t xml:space="preserve"> zip, </w:t>
            </w:r>
            <w:proofErr w:type="spellStart"/>
            <w:r w:rsidRPr="00833F94">
              <w:rPr>
                <w:rFonts w:ascii="Arial" w:hAnsi="Arial" w:cs="Arial"/>
              </w:rPr>
              <w:t>rar</w:t>
            </w:r>
            <w:proofErr w:type="spellEnd"/>
            <w:r w:rsidRPr="00833F94">
              <w:rPr>
                <w:rFonts w:ascii="Arial" w:hAnsi="Arial" w:cs="Arial"/>
              </w:rPr>
              <w:t xml:space="preserve"> archivů</w:t>
            </w:r>
          </w:p>
        </w:tc>
        <w:tc>
          <w:tcPr>
            <w:tcW w:w="3895" w:type="dxa"/>
            <w:tcBorders>
              <w:top w:val="nil"/>
              <w:left w:val="nil"/>
              <w:bottom w:val="single" w:sz="4" w:space="0" w:color="auto"/>
              <w:right w:val="single" w:sz="4" w:space="0" w:color="auto"/>
            </w:tcBorders>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 xml:space="preserve">Popis a způsob zajištění extrakce informací z </w:t>
            </w:r>
            <w:proofErr w:type="spellStart"/>
            <w:r w:rsidRPr="00833F94">
              <w:rPr>
                <w:rFonts w:ascii="Arial" w:hAnsi="Arial" w:cs="Arial"/>
              </w:rPr>
              <w:t>nezaheslovaných</w:t>
            </w:r>
            <w:proofErr w:type="spellEnd"/>
            <w:r w:rsidRPr="00833F94">
              <w:rPr>
                <w:rFonts w:ascii="Arial" w:hAnsi="Arial" w:cs="Arial"/>
              </w:rPr>
              <w:t xml:space="preserve"> archivačních souborů typu zip,</w:t>
            </w:r>
            <w:r>
              <w:rPr>
                <w:rFonts w:ascii="Arial" w:hAnsi="Arial" w:cs="Arial"/>
              </w:rPr>
              <w:t xml:space="preserve"> </w:t>
            </w:r>
            <w:proofErr w:type="spellStart"/>
            <w:r w:rsidRPr="00833F94">
              <w:rPr>
                <w:rFonts w:ascii="Arial" w:hAnsi="Arial" w:cs="Arial"/>
              </w:rPr>
              <w:t>rar</w:t>
            </w:r>
            <w:proofErr w:type="spellEnd"/>
            <w:r w:rsidRPr="00833F94">
              <w:rPr>
                <w:rFonts w:ascii="Arial" w:hAnsi="Arial" w:cs="Arial"/>
              </w:rPr>
              <w:t xml:space="preserve"> obsahující dokumenty typu PDF, MS Excel, MS Word, MS PPT</w:t>
            </w:r>
          </w:p>
        </w:tc>
        <w:tc>
          <w:tcPr>
            <w:tcW w:w="2835" w:type="dxa"/>
            <w:tcBorders>
              <w:top w:val="nil"/>
              <w:left w:val="nil"/>
              <w:bottom w:val="single" w:sz="4" w:space="0" w:color="auto"/>
              <w:right w:val="single" w:sz="4" w:space="0" w:color="auto"/>
            </w:tcBorders>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B7701D">
        <w:trPr>
          <w:trHeight w:val="629"/>
        </w:trPr>
        <w:tc>
          <w:tcPr>
            <w:tcW w:w="2376" w:type="dxa"/>
            <w:tcBorders>
              <w:top w:val="nil"/>
              <w:left w:val="single" w:sz="4" w:space="0" w:color="auto"/>
              <w:bottom w:val="single" w:sz="4" w:space="0" w:color="auto"/>
              <w:right w:val="single" w:sz="4" w:space="0" w:color="auto"/>
            </w:tcBorders>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Extrakce textu z dokumentů PDF, MS Excel, MS Word, MS PPT</w:t>
            </w:r>
          </w:p>
        </w:tc>
        <w:tc>
          <w:tcPr>
            <w:tcW w:w="3895" w:type="dxa"/>
            <w:tcBorders>
              <w:top w:val="nil"/>
              <w:left w:val="nil"/>
              <w:bottom w:val="single" w:sz="4" w:space="0" w:color="auto"/>
              <w:right w:val="single" w:sz="4" w:space="0" w:color="auto"/>
            </w:tcBorders>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 xml:space="preserve">Popis a způsob zajištění extrakce informací z dokumentů formátu PDF, PPT, MS Word, MS Excel a to včetně extrakce </w:t>
            </w:r>
            <w:proofErr w:type="spellStart"/>
            <w:r w:rsidRPr="00833F94">
              <w:rPr>
                <w:rFonts w:ascii="Arial" w:hAnsi="Arial" w:cs="Arial"/>
              </w:rPr>
              <w:t>metadat</w:t>
            </w:r>
            <w:proofErr w:type="spellEnd"/>
          </w:p>
        </w:tc>
        <w:tc>
          <w:tcPr>
            <w:tcW w:w="2835" w:type="dxa"/>
            <w:tcBorders>
              <w:top w:val="nil"/>
              <w:left w:val="nil"/>
              <w:bottom w:val="single" w:sz="4" w:space="0" w:color="auto"/>
              <w:right w:val="single" w:sz="4" w:space="0" w:color="auto"/>
            </w:tcBorders>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B7701D">
        <w:trPr>
          <w:trHeight w:val="419"/>
        </w:trPr>
        <w:tc>
          <w:tcPr>
            <w:tcW w:w="2376" w:type="dxa"/>
            <w:tcBorders>
              <w:top w:val="nil"/>
              <w:left w:val="single" w:sz="4" w:space="0" w:color="auto"/>
              <w:bottom w:val="single" w:sz="4" w:space="0" w:color="auto"/>
              <w:right w:val="single" w:sz="4" w:space="0" w:color="auto"/>
            </w:tcBorders>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Podporované formáty zpracovávaných dokumentů</w:t>
            </w:r>
          </w:p>
        </w:tc>
        <w:tc>
          <w:tcPr>
            <w:tcW w:w="3895" w:type="dxa"/>
            <w:tcBorders>
              <w:top w:val="nil"/>
              <w:left w:val="nil"/>
              <w:bottom w:val="single" w:sz="4" w:space="0" w:color="auto"/>
              <w:right w:val="single" w:sz="4" w:space="0" w:color="auto"/>
            </w:tcBorders>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 xml:space="preserve">Podporované formáty: XML, PDF, MS Office, Open Office, </w:t>
            </w:r>
            <w:proofErr w:type="spellStart"/>
            <w:r w:rsidRPr="00833F94">
              <w:rPr>
                <w:rFonts w:ascii="Arial" w:hAnsi="Arial" w:cs="Arial"/>
              </w:rPr>
              <w:t>OpenXML</w:t>
            </w:r>
            <w:proofErr w:type="spellEnd"/>
          </w:p>
        </w:tc>
        <w:tc>
          <w:tcPr>
            <w:tcW w:w="2835" w:type="dxa"/>
            <w:tcBorders>
              <w:top w:val="nil"/>
              <w:left w:val="nil"/>
              <w:bottom w:val="single" w:sz="4" w:space="0" w:color="auto"/>
              <w:right w:val="single" w:sz="4" w:space="0" w:color="auto"/>
            </w:tcBorders>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B7701D">
        <w:trPr>
          <w:trHeight w:val="629"/>
        </w:trPr>
        <w:tc>
          <w:tcPr>
            <w:tcW w:w="2376" w:type="dxa"/>
            <w:tcBorders>
              <w:top w:val="nil"/>
              <w:left w:val="single" w:sz="4" w:space="0" w:color="auto"/>
              <w:bottom w:val="single" w:sz="4" w:space="0" w:color="auto"/>
              <w:right w:val="single" w:sz="4" w:space="0" w:color="auto"/>
            </w:tcBorders>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Vstupní rozhraní</w:t>
            </w:r>
          </w:p>
        </w:tc>
        <w:tc>
          <w:tcPr>
            <w:tcW w:w="3895" w:type="dxa"/>
            <w:tcBorders>
              <w:top w:val="nil"/>
              <w:left w:val="nil"/>
              <w:bottom w:val="single" w:sz="4" w:space="0" w:color="auto"/>
              <w:right w:val="single" w:sz="4" w:space="0" w:color="auto"/>
            </w:tcBorders>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Vst</w:t>
            </w:r>
            <w:r>
              <w:rPr>
                <w:rFonts w:ascii="Arial" w:hAnsi="Arial" w:cs="Arial"/>
              </w:rPr>
              <w:t>up dat ze souborového systému a pomocí REST CRUD, JSON a </w:t>
            </w:r>
            <w:r w:rsidRPr="00833F94">
              <w:rPr>
                <w:rFonts w:ascii="Arial" w:hAnsi="Arial" w:cs="Arial"/>
              </w:rPr>
              <w:t>HTTP API s možností definice parametrů v rámci administrace aplikace.</w:t>
            </w:r>
          </w:p>
        </w:tc>
        <w:tc>
          <w:tcPr>
            <w:tcW w:w="2835" w:type="dxa"/>
            <w:tcBorders>
              <w:top w:val="nil"/>
              <w:left w:val="nil"/>
              <w:bottom w:val="single" w:sz="4" w:space="0" w:color="auto"/>
              <w:right w:val="single" w:sz="4" w:space="0" w:color="auto"/>
            </w:tcBorders>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B7701D">
        <w:trPr>
          <w:trHeight w:val="419"/>
        </w:trPr>
        <w:tc>
          <w:tcPr>
            <w:tcW w:w="2376" w:type="dxa"/>
            <w:tcBorders>
              <w:top w:val="nil"/>
              <w:left w:val="single" w:sz="4" w:space="0" w:color="auto"/>
              <w:bottom w:val="single" w:sz="4" w:space="0" w:color="auto"/>
              <w:right w:val="single" w:sz="4" w:space="0" w:color="auto"/>
            </w:tcBorders>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Nastavitelné přístupové práva na základě zdroje extrahovaných dat</w:t>
            </w:r>
          </w:p>
        </w:tc>
        <w:tc>
          <w:tcPr>
            <w:tcW w:w="3895" w:type="dxa"/>
            <w:tcBorders>
              <w:top w:val="nil"/>
              <w:left w:val="nil"/>
              <w:bottom w:val="single" w:sz="4" w:space="0" w:color="auto"/>
              <w:right w:val="single" w:sz="4" w:space="0" w:color="auto"/>
            </w:tcBorders>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Popsat návrh a technologii řešení přístupových práv k extrahovaným informacím</w:t>
            </w:r>
          </w:p>
        </w:tc>
        <w:tc>
          <w:tcPr>
            <w:tcW w:w="2835" w:type="dxa"/>
            <w:tcBorders>
              <w:top w:val="nil"/>
              <w:left w:val="nil"/>
              <w:bottom w:val="single" w:sz="4" w:space="0" w:color="auto"/>
              <w:right w:val="single" w:sz="4" w:space="0" w:color="auto"/>
            </w:tcBorders>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bl>
    <w:p w:rsidR="006C12DC" w:rsidRDefault="006C12DC">
      <w:r>
        <w:br w:type="page"/>
      </w:r>
    </w:p>
    <w:tbl>
      <w:tblPr>
        <w:tblpPr w:leftFromText="180" w:rightFromText="180" w:vertAnchor="text" w:horzAnchor="margin" w:tblpXSpec="center" w:tblpY="316"/>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895"/>
        <w:gridCol w:w="2835"/>
      </w:tblGrid>
      <w:tr w:rsidR="006C12DC" w:rsidRPr="00833F94" w:rsidTr="006C12DC">
        <w:trPr>
          <w:trHeight w:val="419"/>
        </w:trPr>
        <w:tc>
          <w:tcPr>
            <w:tcW w:w="2376"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lastRenderedPageBreak/>
              <w:t>Výstupní rozhraní</w:t>
            </w: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Návrh definice výstupního rozhraní pro analýzy uložených dat. Požadovány jsou formáty REST CRUD (XML), JSON, HTTP</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419"/>
        </w:trPr>
        <w:tc>
          <w:tcPr>
            <w:tcW w:w="2376"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Pokročilé vyhledávání</w:t>
            </w:r>
          </w:p>
        </w:tc>
        <w:tc>
          <w:tcPr>
            <w:tcW w:w="3895" w:type="dxa"/>
            <w:shd w:val="clear" w:color="000000" w:fill="F2F2F2"/>
            <w:vAlign w:val="center"/>
            <w:hideMark/>
          </w:tcPr>
          <w:p w:rsidR="006C12DC" w:rsidRPr="00833F94" w:rsidRDefault="006C12DC" w:rsidP="00B7701D">
            <w:pPr>
              <w:spacing w:before="120" w:after="120" w:line="240" w:lineRule="auto"/>
              <w:rPr>
                <w:rFonts w:ascii="Arial" w:hAnsi="Arial" w:cs="Arial"/>
              </w:rPr>
            </w:pPr>
            <w:r>
              <w:rPr>
                <w:rFonts w:ascii="Arial" w:hAnsi="Arial" w:cs="Arial"/>
              </w:rPr>
              <w:t>Pokročilá schopnost práce se seznamy vyloučených slov a </w:t>
            </w:r>
            <w:r w:rsidRPr="00833F94">
              <w:rPr>
                <w:rFonts w:ascii="Arial" w:hAnsi="Arial" w:cs="Arial"/>
              </w:rPr>
              <w:t>synonym</w:t>
            </w:r>
          </w:p>
        </w:tc>
        <w:tc>
          <w:tcPr>
            <w:tcW w:w="2835" w:type="dxa"/>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210"/>
        </w:trPr>
        <w:tc>
          <w:tcPr>
            <w:tcW w:w="2376" w:type="dxa"/>
            <w:vMerge w:val="restart"/>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Musí nabízet zpracování vstupních dat do formy vhodné pro analýzu dat</w:t>
            </w: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Čištění a normalizace vstupních dat</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210"/>
        </w:trPr>
        <w:tc>
          <w:tcPr>
            <w:tcW w:w="2376" w:type="dxa"/>
            <w:vMerge/>
            <w:vAlign w:val="center"/>
            <w:hideMark/>
          </w:tcPr>
          <w:p w:rsidR="006C12DC" w:rsidRPr="00833F94" w:rsidRDefault="006C12DC" w:rsidP="00B7701D">
            <w:pPr>
              <w:spacing w:before="120" w:after="120" w:line="240" w:lineRule="auto"/>
              <w:rPr>
                <w:rFonts w:ascii="Arial" w:hAnsi="Arial" w:cs="Arial"/>
              </w:rPr>
            </w:pP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 xml:space="preserve">Extrakce </w:t>
            </w:r>
            <w:proofErr w:type="spellStart"/>
            <w:r w:rsidRPr="00833F94">
              <w:rPr>
                <w:rFonts w:ascii="Arial" w:hAnsi="Arial" w:cs="Arial"/>
              </w:rPr>
              <w:t>metadat</w:t>
            </w:r>
            <w:proofErr w:type="spellEnd"/>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419"/>
        </w:trPr>
        <w:tc>
          <w:tcPr>
            <w:tcW w:w="2376" w:type="dxa"/>
            <w:vMerge/>
            <w:vAlign w:val="center"/>
            <w:hideMark/>
          </w:tcPr>
          <w:p w:rsidR="006C12DC" w:rsidRPr="00833F94" w:rsidRDefault="006C12DC" w:rsidP="00B7701D">
            <w:pPr>
              <w:spacing w:before="120" w:after="120" w:line="240" w:lineRule="auto"/>
              <w:rPr>
                <w:rFonts w:ascii="Arial" w:hAnsi="Arial" w:cs="Arial"/>
              </w:rPr>
            </w:pP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Lingvistické zpracování textů v českém jazyce, angličtině a němčině</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419"/>
        </w:trPr>
        <w:tc>
          <w:tcPr>
            <w:tcW w:w="2376" w:type="dxa"/>
            <w:vMerge/>
            <w:vAlign w:val="center"/>
            <w:hideMark/>
          </w:tcPr>
          <w:p w:rsidR="006C12DC" w:rsidRPr="00833F94" w:rsidRDefault="006C12DC" w:rsidP="00B7701D">
            <w:pPr>
              <w:spacing w:before="120" w:after="120" w:line="240" w:lineRule="auto"/>
              <w:rPr>
                <w:rFonts w:ascii="Arial" w:hAnsi="Arial" w:cs="Arial"/>
              </w:rPr>
            </w:pP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Plná podpora zpracování přirozeného jazyka (NLP) v českém jazyce</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419"/>
        </w:trPr>
        <w:tc>
          <w:tcPr>
            <w:tcW w:w="2376" w:type="dxa"/>
            <w:vMerge/>
            <w:vAlign w:val="center"/>
            <w:hideMark/>
          </w:tcPr>
          <w:p w:rsidR="006C12DC" w:rsidRPr="00833F94" w:rsidRDefault="006C12DC" w:rsidP="00B7701D">
            <w:pPr>
              <w:spacing w:before="120" w:after="120" w:line="240" w:lineRule="auto"/>
              <w:rPr>
                <w:rFonts w:ascii="Arial" w:hAnsi="Arial" w:cs="Arial"/>
              </w:rPr>
            </w:pP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Skloňování a časování (</w:t>
            </w:r>
            <w:proofErr w:type="spellStart"/>
            <w:r w:rsidRPr="00833F94">
              <w:rPr>
                <w:rFonts w:ascii="Arial" w:hAnsi="Arial" w:cs="Arial"/>
              </w:rPr>
              <w:t>lematizace</w:t>
            </w:r>
            <w:proofErr w:type="spellEnd"/>
            <w:r w:rsidRPr="00833F94">
              <w:rPr>
                <w:rFonts w:ascii="Arial" w:hAnsi="Arial" w:cs="Arial"/>
              </w:rPr>
              <w:t>) če</w:t>
            </w:r>
            <w:r>
              <w:rPr>
                <w:rFonts w:ascii="Arial" w:hAnsi="Arial" w:cs="Arial"/>
              </w:rPr>
              <w:t>ských slov, ne pouze redukce na </w:t>
            </w:r>
            <w:r w:rsidRPr="00833F94">
              <w:rPr>
                <w:rFonts w:ascii="Arial" w:hAnsi="Arial" w:cs="Arial"/>
              </w:rPr>
              <w:t>kořen slov (</w:t>
            </w:r>
            <w:proofErr w:type="spellStart"/>
            <w:r w:rsidRPr="00833F94">
              <w:rPr>
                <w:rFonts w:ascii="Arial" w:hAnsi="Arial" w:cs="Arial"/>
              </w:rPr>
              <w:t>stemming</w:t>
            </w:r>
            <w:proofErr w:type="spellEnd"/>
            <w:r w:rsidRPr="00833F94">
              <w:rPr>
                <w:rFonts w:ascii="Arial" w:hAnsi="Arial" w:cs="Arial"/>
              </w:rPr>
              <w:t>)</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210"/>
        </w:trPr>
        <w:tc>
          <w:tcPr>
            <w:tcW w:w="2376" w:type="dxa"/>
            <w:vMerge/>
            <w:vAlign w:val="center"/>
            <w:hideMark/>
          </w:tcPr>
          <w:p w:rsidR="006C12DC" w:rsidRPr="00833F94" w:rsidRDefault="006C12DC" w:rsidP="00B7701D">
            <w:pPr>
              <w:spacing w:before="120" w:after="120" w:line="240" w:lineRule="auto"/>
              <w:rPr>
                <w:rFonts w:ascii="Arial" w:hAnsi="Arial" w:cs="Arial"/>
              </w:rPr>
            </w:pP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Rozpoznávání vět a větných členů</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629"/>
        </w:trPr>
        <w:tc>
          <w:tcPr>
            <w:tcW w:w="2376" w:type="dxa"/>
            <w:vMerge w:val="restart"/>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Tvorba a správa kategorií a pravidel pro automatické zařazování obsahu</w:t>
            </w:r>
          </w:p>
        </w:tc>
        <w:tc>
          <w:tcPr>
            <w:tcW w:w="3895"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Uživatelsky přívětivý, grafický nástroj pro vytváření a změny pravidel k</w:t>
            </w:r>
            <w:r>
              <w:rPr>
                <w:rFonts w:ascii="Arial" w:hAnsi="Arial" w:cs="Arial"/>
              </w:rPr>
              <w:t>ategorizace v českém jazyce bez </w:t>
            </w:r>
            <w:r w:rsidRPr="00833F94">
              <w:rPr>
                <w:rFonts w:ascii="Arial" w:hAnsi="Arial" w:cs="Arial"/>
              </w:rPr>
              <w:t>nutnosti dodatečného programování</w:t>
            </w:r>
          </w:p>
        </w:tc>
        <w:tc>
          <w:tcPr>
            <w:tcW w:w="2835" w:type="dxa"/>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210"/>
        </w:trPr>
        <w:tc>
          <w:tcPr>
            <w:tcW w:w="2376" w:type="dxa"/>
            <w:vMerge/>
            <w:vAlign w:val="center"/>
            <w:hideMark/>
          </w:tcPr>
          <w:p w:rsidR="006C12DC" w:rsidRPr="00833F94" w:rsidRDefault="006C12DC" w:rsidP="00B7701D">
            <w:pPr>
              <w:spacing w:before="120" w:after="120" w:line="240" w:lineRule="auto"/>
              <w:rPr>
                <w:rFonts w:ascii="Arial" w:hAnsi="Arial" w:cs="Arial"/>
              </w:rPr>
            </w:pPr>
          </w:p>
        </w:tc>
        <w:tc>
          <w:tcPr>
            <w:tcW w:w="3895"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Tvorba uživatelských pravidel</w:t>
            </w:r>
          </w:p>
        </w:tc>
        <w:tc>
          <w:tcPr>
            <w:tcW w:w="2835" w:type="dxa"/>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210"/>
        </w:trPr>
        <w:tc>
          <w:tcPr>
            <w:tcW w:w="2376" w:type="dxa"/>
            <w:vMerge/>
            <w:vAlign w:val="center"/>
            <w:hideMark/>
          </w:tcPr>
          <w:p w:rsidR="006C12DC" w:rsidRPr="00833F94" w:rsidRDefault="006C12DC" w:rsidP="00B7701D">
            <w:pPr>
              <w:spacing w:before="120" w:after="120" w:line="240" w:lineRule="auto"/>
              <w:rPr>
                <w:rFonts w:ascii="Arial" w:hAnsi="Arial" w:cs="Arial"/>
              </w:rPr>
            </w:pPr>
          </w:p>
        </w:tc>
        <w:tc>
          <w:tcPr>
            <w:tcW w:w="3895"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Tvorba znalostních kategorií výčtem klíčových slov</w:t>
            </w:r>
          </w:p>
        </w:tc>
        <w:tc>
          <w:tcPr>
            <w:tcW w:w="2835" w:type="dxa"/>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629"/>
        </w:trPr>
        <w:tc>
          <w:tcPr>
            <w:tcW w:w="2376"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Omezení výběru dle definovaných kritérií</w:t>
            </w: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 xml:space="preserve">V rámci prezentační vrstvy požadujeme možnost třídit dle </w:t>
            </w:r>
            <w:proofErr w:type="spellStart"/>
            <w:r w:rsidRPr="00833F94">
              <w:rPr>
                <w:rFonts w:ascii="Arial" w:hAnsi="Arial" w:cs="Arial"/>
              </w:rPr>
              <w:t>metadat</w:t>
            </w:r>
            <w:proofErr w:type="spellEnd"/>
            <w:r w:rsidRPr="00833F94">
              <w:rPr>
                <w:rFonts w:ascii="Arial" w:hAnsi="Arial" w:cs="Arial"/>
              </w:rPr>
              <w:t xml:space="preserve"> zpráv (například autor), datum pořízení, zdroje nebo automaticky generovaného konceptu zpráv</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629"/>
        </w:trPr>
        <w:tc>
          <w:tcPr>
            <w:tcW w:w="2376"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Exporty sestav</w:t>
            </w:r>
          </w:p>
        </w:tc>
        <w:tc>
          <w:tcPr>
            <w:tcW w:w="3895"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Aplikace umožní export zdrojových dat do běžně dostupných kancelářských programů jako je MS Office Excel, MS Office Word</w:t>
            </w:r>
          </w:p>
        </w:tc>
        <w:tc>
          <w:tcPr>
            <w:tcW w:w="2835" w:type="dxa"/>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419"/>
        </w:trPr>
        <w:tc>
          <w:tcPr>
            <w:tcW w:w="2376"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Podporované vstupní formáty aplikace</w:t>
            </w: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Aplikace podporuje a zpracovává následující vstupní datové formáty: XML, JSON</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bl>
    <w:p w:rsidR="006C12DC" w:rsidRDefault="006C12DC">
      <w:r>
        <w:br w:type="page"/>
      </w:r>
    </w:p>
    <w:tbl>
      <w:tblPr>
        <w:tblpPr w:leftFromText="180" w:rightFromText="180" w:vertAnchor="text" w:horzAnchor="margin" w:tblpXSpec="center" w:tblpY="316"/>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895"/>
        <w:gridCol w:w="2835"/>
      </w:tblGrid>
      <w:tr w:rsidR="006C12DC" w:rsidRPr="00833F94" w:rsidTr="006C12DC">
        <w:trPr>
          <w:trHeight w:val="419"/>
        </w:trPr>
        <w:tc>
          <w:tcPr>
            <w:tcW w:w="2376" w:type="dxa"/>
            <w:shd w:val="clear" w:color="000000" w:fill="F2F2F2"/>
            <w:vAlign w:val="center"/>
            <w:hideMark/>
          </w:tcPr>
          <w:p w:rsidR="006C12DC" w:rsidRPr="00833F94" w:rsidRDefault="006C12DC" w:rsidP="00B7701D">
            <w:pPr>
              <w:spacing w:before="120" w:after="120" w:line="240" w:lineRule="auto"/>
              <w:rPr>
                <w:rFonts w:ascii="Arial" w:hAnsi="Arial" w:cs="Arial"/>
              </w:rPr>
            </w:pPr>
            <w:r>
              <w:rPr>
                <w:rFonts w:ascii="Arial" w:hAnsi="Arial" w:cs="Arial"/>
              </w:rPr>
              <w:lastRenderedPageBreak/>
              <w:t>Sumarizace témat s </w:t>
            </w:r>
            <w:r w:rsidRPr="00833F94">
              <w:rPr>
                <w:rFonts w:ascii="Arial" w:hAnsi="Arial" w:cs="Arial"/>
              </w:rPr>
              <w:t xml:space="preserve">možností </w:t>
            </w:r>
            <w:proofErr w:type="spellStart"/>
            <w:r w:rsidRPr="00833F94">
              <w:rPr>
                <w:rFonts w:ascii="Arial" w:hAnsi="Arial" w:cs="Arial"/>
              </w:rPr>
              <w:t>prokliku</w:t>
            </w:r>
            <w:proofErr w:type="spellEnd"/>
            <w:r w:rsidRPr="00833F94">
              <w:rPr>
                <w:rFonts w:ascii="Arial" w:hAnsi="Arial" w:cs="Arial"/>
              </w:rPr>
              <w:t xml:space="preserve"> na detail</w:t>
            </w:r>
          </w:p>
        </w:tc>
        <w:tc>
          <w:tcPr>
            <w:tcW w:w="3895" w:type="dxa"/>
            <w:shd w:val="clear" w:color="000000" w:fill="F2F2F2"/>
            <w:vAlign w:val="center"/>
            <w:hideMark/>
          </w:tcPr>
          <w:p w:rsidR="006C12DC" w:rsidRPr="00833F94" w:rsidRDefault="006C12DC" w:rsidP="00B7701D">
            <w:pPr>
              <w:spacing w:before="120" w:after="120" w:line="240" w:lineRule="auto"/>
              <w:rPr>
                <w:rFonts w:ascii="Arial" w:hAnsi="Arial" w:cs="Arial"/>
              </w:rPr>
            </w:pPr>
            <w:r>
              <w:rPr>
                <w:rFonts w:ascii="Arial" w:hAnsi="Arial" w:cs="Arial"/>
              </w:rPr>
              <w:t>Zachycení vrcholové informace s </w:t>
            </w:r>
            <w:r w:rsidRPr="00833F94">
              <w:rPr>
                <w:rFonts w:ascii="Arial" w:hAnsi="Arial" w:cs="Arial"/>
              </w:rPr>
              <w:t xml:space="preserve">možností </w:t>
            </w:r>
            <w:proofErr w:type="spellStart"/>
            <w:r>
              <w:rPr>
                <w:rFonts w:ascii="Arial" w:hAnsi="Arial" w:cs="Arial"/>
              </w:rPr>
              <w:t>prokliku</w:t>
            </w:r>
            <w:proofErr w:type="spellEnd"/>
            <w:r>
              <w:rPr>
                <w:rFonts w:ascii="Arial" w:hAnsi="Arial" w:cs="Arial"/>
              </w:rPr>
              <w:t xml:space="preserve"> na detail zpráv až </w:t>
            </w:r>
            <w:r w:rsidRPr="00833F94">
              <w:rPr>
                <w:rFonts w:ascii="Arial" w:hAnsi="Arial" w:cs="Arial"/>
              </w:rPr>
              <w:t>na úroveň samotných vstupů dat</w:t>
            </w:r>
          </w:p>
        </w:tc>
        <w:tc>
          <w:tcPr>
            <w:tcW w:w="2835" w:type="dxa"/>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629"/>
        </w:trPr>
        <w:tc>
          <w:tcPr>
            <w:tcW w:w="2376"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Automatické generování kontextu a souvisejících dokumentů</w:t>
            </w: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Aplikace umožní na základě analyzovaného tématu dovodit souv</w:t>
            </w:r>
            <w:r>
              <w:rPr>
                <w:rFonts w:ascii="Arial" w:hAnsi="Arial" w:cs="Arial"/>
              </w:rPr>
              <w:t>isející dokumenty a zobrazit je </w:t>
            </w:r>
            <w:r w:rsidRPr="00833F94">
              <w:rPr>
                <w:rFonts w:ascii="Arial" w:hAnsi="Arial" w:cs="Arial"/>
              </w:rPr>
              <w:t>prostřednictvím přehledové informace</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629"/>
        </w:trPr>
        <w:tc>
          <w:tcPr>
            <w:tcW w:w="2376"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Podpora běhu aplikace v rámci poskytování služby</w:t>
            </w:r>
          </w:p>
        </w:tc>
        <w:tc>
          <w:tcPr>
            <w:tcW w:w="3895"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Zajištění technické podpory pro</w:t>
            </w:r>
            <w:r>
              <w:rPr>
                <w:rFonts w:ascii="Arial" w:hAnsi="Arial" w:cs="Arial"/>
              </w:rPr>
              <w:t xml:space="preserve"> běhu služby v pracovních dnech</w:t>
            </w:r>
            <w:r>
              <w:rPr>
                <w:rFonts w:ascii="Arial" w:hAnsi="Arial" w:cs="Arial"/>
              </w:rPr>
              <w:br/>
            </w:r>
            <w:r w:rsidRPr="00833F94">
              <w:rPr>
                <w:rFonts w:ascii="Arial" w:hAnsi="Arial" w:cs="Arial"/>
              </w:rPr>
              <w:t>od 8 do 18 hodin po dobu délky poskytování této služby</w:t>
            </w:r>
          </w:p>
        </w:tc>
        <w:tc>
          <w:tcPr>
            <w:tcW w:w="2835" w:type="dxa"/>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419"/>
        </w:trPr>
        <w:tc>
          <w:tcPr>
            <w:tcW w:w="2376"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Dostupnost služby</w:t>
            </w: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Definice a přesný popis způsobu zajištění požadované dostupnosti poskytované služby 24x7x365</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419"/>
        </w:trPr>
        <w:tc>
          <w:tcPr>
            <w:tcW w:w="2376"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Sada grafů umožňující grafickou interpretaci trendů</w:t>
            </w:r>
          </w:p>
        </w:tc>
        <w:tc>
          <w:tcPr>
            <w:tcW w:w="3895"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Popis a detailní návrh nejvhodnějších typů grafických prostředků umožňující zachycení trendových veličin</w:t>
            </w:r>
          </w:p>
        </w:tc>
        <w:tc>
          <w:tcPr>
            <w:tcW w:w="2835" w:type="dxa"/>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419"/>
        </w:trPr>
        <w:tc>
          <w:tcPr>
            <w:tcW w:w="2376"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Zajištění zabezpečeného provozu služby</w:t>
            </w:r>
          </w:p>
        </w:tc>
        <w:tc>
          <w:tcPr>
            <w:tcW w:w="3895" w:type="dxa"/>
            <w:shd w:val="clear" w:color="000000" w:fill="DCE6F1"/>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Poskytování služby musí být realizováno prostřednictvím https protokolu s platným certifikátem</w:t>
            </w:r>
          </w:p>
        </w:tc>
        <w:tc>
          <w:tcPr>
            <w:tcW w:w="2835" w:type="dxa"/>
            <w:shd w:val="clear" w:color="000000" w:fill="DCE6F1"/>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419"/>
        </w:trPr>
        <w:tc>
          <w:tcPr>
            <w:tcW w:w="2376"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Dostupnost poskytované služby</w:t>
            </w:r>
          </w:p>
        </w:tc>
        <w:tc>
          <w:tcPr>
            <w:tcW w:w="3895" w:type="dxa"/>
            <w:shd w:val="clear" w:color="000000" w:fill="F2F2F2"/>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Po</w:t>
            </w:r>
            <w:r>
              <w:rPr>
                <w:rFonts w:ascii="Arial" w:hAnsi="Arial" w:cs="Arial"/>
              </w:rPr>
              <w:t>žadovaná dostupnost služby je v </w:t>
            </w:r>
            <w:r w:rsidRPr="00833F94">
              <w:rPr>
                <w:rFonts w:ascii="Arial" w:hAnsi="Arial" w:cs="Arial"/>
              </w:rPr>
              <w:t>rež</w:t>
            </w:r>
            <w:r>
              <w:rPr>
                <w:rFonts w:ascii="Arial" w:hAnsi="Arial" w:cs="Arial"/>
              </w:rPr>
              <w:t>imu 24x7x365 (24 hodin, 7 dní v </w:t>
            </w:r>
            <w:r w:rsidRPr="00833F94">
              <w:rPr>
                <w:rFonts w:ascii="Arial" w:hAnsi="Arial" w:cs="Arial"/>
              </w:rPr>
              <w:t>týdnu, 365 dní v roce)</w:t>
            </w:r>
          </w:p>
        </w:tc>
        <w:tc>
          <w:tcPr>
            <w:tcW w:w="2835" w:type="dxa"/>
            <w:shd w:val="clear" w:color="000000" w:fill="F2F2F2"/>
            <w:noWrap/>
            <w:vAlign w:val="center"/>
            <w:hideMark/>
          </w:tcPr>
          <w:p w:rsidR="006C12DC" w:rsidRPr="00833F94" w:rsidRDefault="006C12DC" w:rsidP="00B7701D">
            <w:pPr>
              <w:spacing w:before="120" w:after="120" w:line="240" w:lineRule="auto"/>
              <w:rPr>
                <w:rFonts w:ascii="Arial" w:hAnsi="Arial" w:cs="Arial"/>
              </w:rPr>
            </w:pPr>
          </w:p>
        </w:tc>
      </w:tr>
      <w:tr w:rsidR="006C12DC" w:rsidRPr="00833F94" w:rsidTr="006C12DC">
        <w:trPr>
          <w:trHeight w:val="629"/>
        </w:trPr>
        <w:tc>
          <w:tcPr>
            <w:tcW w:w="2376" w:type="dxa"/>
            <w:shd w:val="clear" w:color="000000" w:fill="DCE6F1"/>
            <w:vAlign w:val="center"/>
          </w:tcPr>
          <w:p w:rsidR="006C12DC" w:rsidRPr="00833F94" w:rsidRDefault="006C12DC" w:rsidP="00B7701D">
            <w:pPr>
              <w:spacing w:before="120" w:after="120" w:line="240" w:lineRule="auto"/>
              <w:rPr>
                <w:rFonts w:ascii="Arial" w:hAnsi="Arial" w:cs="Arial"/>
              </w:rPr>
            </w:pPr>
            <w:r w:rsidRPr="00833F94">
              <w:rPr>
                <w:rFonts w:ascii="Arial" w:hAnsi="Arial" w:cs="Arial"/>
              </w:rPr>
              <w:t xml:space="preserve">Extrakce dat z prostředí sociálních sítí </w:t>
            </w:r>
            <w:proofErr w:type="spellStart"/>
            <w:r w:rsidRPr="00833F94">
              <w:rPr>
                <w:rFonts w:ascii="Arial" w:hAnsi="Arial" w:cs="Arial"/>
              </w:rPr>
              <w:t>facebook</w:t>
            </w:r>
            <w:proofErr w:type="spellEnd"/>
            <w:r w:rsidRPr="00833F94">
              <w:rPr>
                <w:rFonts w:ascii="Arial" w:hAnsi="Arial" w:cs="Arial"/>
              </w:rPr>
              <w:t xml:space="preserve">, </w:t>
            </w:r>
            <w:proofErr w:type="spellStart"/>
            <w:r w:rsidRPr="00833F94">
              <w:rPr>
                <w:rFonts w:ascii="Arial" w:hAnsi="Arial" w:cs="Arial"/>
              </w:rPr>
              <w:t>twitter</w:t>
            </w:r>
            <w:proofErr w:type="spellEnd"/>
            <w:r w:rsidRPr="00833F94">
              <w:rPr>
                <w:rFonts w:ascii="Arial" w:hAnsi="Arial" w:cs="Arial"/>
              </w:rPr>
              <w:t xml:space="preserve">, </w:t>
            </w:r>
            <w:proofErr w:type="spellStart"/>
            <w:r w:rsidRPr="00833F94">
              <w:rPr>
                <w:rFonts w:ascii="Arial" w:hAnsi="Arial" w:cs="Arial"/>
              </w:rPr>
              <w:t>youtube</w:t>
            </w:r>
            <w:proofErr w:type="spellEnd"/>
            <w:r w:rsidRPr="00833F94">
              <w:rPr>
                <w:rFonts w:ascii="Arial" w:hAnsi="Arial" w:cs="Arial"/>
              </w:rPr>
              <w:t xml:space="preserve"> a dalších</w:t>
            </w:r>
          </w:p>
        </w:tc>
        <w:tc>
          <w:tcPr>
            <w:tcW w:w="3895" w:type="dxa"/>
            <w:shd w:val="clear" w:color="000000" w:fill="DCE6F1"/>
            <w:vAlign w:val="center"/>
          </w:tcPr>
          <w:p w:rsidR="006C12DC" w:rsidRPr="00833F94" w:rsidRDefault="006C12DC" w:rsidP="00B7701D">
            <w:pPr>
              <w:spacing w:before="120" w:after="120" w:line="240" w:lineRule="auto"/>
              <w:rPr>
                <w:rFonts w:ascii="Arial" w:hAnsi="Arial" w:cs="Arial"/>
              </w:rPr>
            </w:pPr>
            <w:r w:rsidRPr="00833F94">
              <w:rPr>
                <w:rFonts w:ascii="Arial" w:hAnsi="Arial" w:cs="Arial"/>
              </w:rPr>
              <w:t>Popis způsobu a technologického řešení umožňující nejlepší možný způsob extrakce dat a informací z prostředí požadovaných sociálních sítí, včetně způsobů řešení specifických problémů, které tyto zdroje dat mají.</w:t>
            </w:r>
          </w:p>
        </w:tc>
        <w:tc>
          <w:tcPr>
            <w:tcW w:w="2835" w:type="dxa"/>
            <w:shd w:val="clear" w:color="000000" w:fill="DCE6F1"/>
            <w:noWrap/>
            <w:vAlign w:val="center"/>
          </w:tcPr>
          <w:p w:rsidR="006C12DC" w:rsidRPr="00833F94" w:rsidRDefault="006C12DC" w:rsidP="00B7701D">
            <w:pPr>
              <w:spacing w:before="120" w:after="120" w:line="240" w:lineRule="auto"/>
              <w:rPr>
                <w:rFonts w:ascii="Arial" w:hAnsi="Arial" w:cs="Arial"/>
              </w:rPr>
            </w:pPr>
          </w:p>
        </w:tc>
      </w:tr>
      <w:tr w:rsidR="006C12DC" w:rsidRPr="00833F94" w:rsidTr="006C12DC">
        <w:trPr>
          <w:trHeight w:val="629"/>
        </w:trPr>
        <w:tc>
          <w:tcPr>
            <w:tcW w:w="2376" w:type="dxa"/>
            <w:shd w:val="clear" w:color="auto" w:fill="auto"/>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Způsob zajištění technické podpory pro zajištění běhu služby</w:t>
            </w:r>
          </w:p>
        </w:tc>
        <w:tc>
          <w:tcPr>
            <w:tcW w:w="3895" w:type="dxa"/>
            <w:shd w:val="clear" w:color="auto" w:fill="auto"/>
            <w:vAlign w:val="center"/>
            <w:hideMark/>
          </w:tcPr>
          <w:p w:rsidR="006C12DC" w:rsidRPr="00833F94" w:rsidRDefault="006C12DC" w:rsidP="00B7701D">
            <w:pPr>
              <w:spacing w:before="120" w:after="120" w:line="240" w:lineRule="auto"/>
              <w:rPr>
                <w:rFonts w:ascii="Arial" w:hAnsi="Arial" w:cs="Arial"/>
              </w:rPr>
            </w:pPr>
            <w:r w:rsidRPr="00833F94">
              <w:rPr>
                <w:rFonts w:ascii="Arial" w:hAnsi="Arial" w:cs="Arial"/>
              </w:rPr>
              <w:t>Detailní popis způsobů zajištění technické podpory pro zajištění běhu služby v požadovaném čase každého pracovního dne mezi 8-18:00</w:t>
            </w:r>
          </w:p>
        </w:tc>
        <w:tc>
          <w:tcPr>
            <w:tcW w:w="2835" w:type="dxa"/>
            <w:shd w:val="clear" w:color="auto" w:fill="auto"/>
            <w:noWrap/>
            <w:vAlign w:val="center"/>
            <w:hideMark/>
          </w:tcPr>
          <w:p w:rsidR="006C12DC" w:rsidRPr="00833F94" w:rsidRDefault="006C12DC" w:rsidP="00B7701D">
            <w:pPr>
              <w:spacing w:before="120" w:after="120" w:line="240" w:lineRule="auto"/>
              <w:rPr>
                <w:rFonts w:ascii="Arial" w:hAnsi="Arial" w:cs="Arial"/>
              </w:rPr>
            </w:pPr>
          </w:p>
        </w:tc>
      </w:tr>
    </w:tbl>
    <w:p w:rsidR="006C12DC" w:rsidRPr="00833F94" w:rsidRDefault="006C12DC" w:rsidP="006C12DC">
      <w:pPr>
        <w:spacing w:after="120"/>
        <w:rPr>
          <w:rFonts w:ascii="Arial" w:hAnsi="Arial" w:cs="Arial"/>
        </w:rPr>
      </w:pPr>
    </w:p>
    <w:p w:rsidR="00526008" w:rsidRPr="006C12DC" w:rsidRDefault="00526008" w:rsidP="006C12DC">
      <w:pPr>
        <w:spacing w:after="120"/>
        <w:rPr>
          <w:rFonts w:ascii="Arial" w:hAnsi="Arial" w:cs="Arial"/>
        </w:rPr>
      </w:pPr>
      <w:bookmarkStart w:id="0" w:name="_GoBack"/>
      <w:bookmarkEnd w:id="0"/>
    </w:p>
    <w:sectPr w:rsidR="00526008" w:rsidRPr="006C12D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2DC" w:rsidRDefault="006C12DC" w:rsidP="006C12DC">
      <w:pPr>
        <w:spacing w:after="0" w:line="240" w:lineRule="auto"/>
      </w:pPr>
      <w:r>
        <w:separator/>
      </w:r>
    </w:p>
  </w:endnote>
  <w:endnote w:type="continuationSeparator" w:id="0">
    <w:p w:rsidR="006C12DC" w:rsidRDefault="006C12DC" w:rsidP="006C1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546600282"/>
      <w:docPartObj>
        <w:docPartGallery w:val="Page Numbers (Bottom of Page)"/>
        <w:docPartUnique/>
      </w:docPartObj>
    </w:sdtPr>
    <w:sdtContent>
      <w:p w:rsidR="006C12DC" w:rsidRPr="006C12DC" w:rsidRDefault="006C12DC" w:rsidP="006C12DC">
        <w:pPr>
          <w:pStyle w:val="Zpat"/>
          <w:jc w:val="right"/>
          <w:rPr>
            <w:rFonts w:ascii="Arial" w:hAnsi="Arial" w:cs="Arial"/>
            <w:sz w:val="18"/>
            <w:szCs w:val="18"/>
          </w:rPr>
        </w:pPr>
        <w:r w:rsidRPr="006C12DC">
          <w:rPr>
            <w:rFonts w:ascii="Arial" w:hAnsi="Arial" w:cs="Arial"/>
            <w:sz w:val="18"/>
            <w:szCs w:val="18"/>
          </w:rPr>
          <w:fldChar w:fldCharType="begin"/>
        </w:r>
        <w:r w:rsidRPr="006C12DC">
          <w:rPr>
            <w:rFonts w:ascii="Arial" w:hAnsi="Arial" w:cs="Arial"/>
            <w:sz w:val="18"/>
            <w:szCs w:val="18"/>
          </w:rPr>
          <w:instrText>PAGE   \* MERGEFORMAT</w:instrText>
        </w:r>
        <w:r w:rsidRPr="006C12DC">
          <w:rPr>
            <w:rFonts w:ascii="Arial" w:hAnsi="Arial" w:cs="Arial"/>
            <w:sz w:val="18"/>
            <w:szCs w:val="18"/>
          </w:rPr>
          <w:fldChar w:fldCharType="separate"/>
        </w:r>
        <w:r w:rsidR="0050063B">
          <w:rPr>
            <w:rFonts w:ascii="Arial" w:hAnsi="Arial" w:cs="Arial"/>
            <w:noProof/>
            <w:sz w:val="18"/>
            <w:szCs w:val="18"/>
          </w:rPr>
          <w:t>1</w:t>
        </w:r>
        <w:r w:rsidRPr="006C12DC">
          <w:rPr>
            <w:rFonts w:ascii="Arial" w:hAnsi="Arial" w:cs="Arial"/>
            <w:sz w:val="18"/>
            <w:szCs w:val="18"/>
          </w:rPr>
          <w:fldChar w:fldCharType="end"/>
        </w:r>
        <w:r>
          <w:rPr>
            <w:rFonts w:ascii="Arial" w:hAnsi="Arial" w:cs="Arial"/>
            <w:sz w:val="18"/>
            <w:szCs w:val="18"/>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2DC" w:rsidRDefault="006C12DC" w:rsidP="006C12DC">
      <w:pPr>
        <w:spacing w:after="0" w:line="240" w:lineRule="auto"/>
      </w:pPr>
      <w:r>
        <w:separator/>
      </w:r>
    </w:p>
  </w:footnote>
  <w:footnote w:type="continuationSeparator" w:id="0">
    <w:p w:rsidR="006C12DC" w:rsidRDefault="006C12DC" w:rsidP="006C12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2DC"/>
    <w:rsid w:val="0050063B"/>
    <w:rsid w:val="00526008"/>
    <w:rsid w:val="006C12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C12D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12DC"/>
  </w:style>
  <w:style w:type="paragraph" w:styleId="Zpat">
    <w:name w:val="footer"/>
    <w:basedOn w:val="Normln"/>
    <w:link w:val="ZpatChar"/>
    <w:uiPriority w:val="99"/>
    <w:unhideWhenUsed/>
    <w:rsid w:val="006C12DC"/>
    <w:pPr>
      <w:tabs>
        <w:tab w:val="center" w:pos="4536"/>
        <w:tab w:val="right" w:pos="9072"/>
      </w:tabs>
      <w:spacing w:after="0" w:line="240" w:lineRule="auto"/>
    </w:pPr>
  </w:style>
  <w:style w:type="character" w:customStyle="1" w:styleId="ZpatChar">
    <w:name w:val="Zápatí Char"/>
    <w:basedOn w:val="Standardnpsmoodstavce"/>
    <w:link w:val="Zpat"/>
    <w:uiPriority w:val="99"/>
    <w:rsid w:val="006C12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C12D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12DC"/>
  </w:style>
  <w:style w:type="paragraph" w:styleId="Zpat">
    <w:name w:val="footer"/>
    <w:basedOn w:val="Normln"/>
    <w:link w:val="ZpatChar"/>
    <w:uiPriority w:val="99"/>
    <w:unhideWhenUsed/>
    <w:rsid w:val="006C12DC"/>
    <w:pPr>
      <w:tabs>
        <w:tab w:val="center" w:pos="4536"/>
        <w:tab w:val="right" w:pos="9072"/>
      </w:tabs>
      <w:spacing w:after="0" w:line="240" w:lineRule="auto"/>
    </w:pPr>
  </w:style>
  <w:style w:type="character" w:customStyle="1" w:styleId="ZpatChar">
    <w:name w:val="Zápatí Char"/>
    <w:basedOn w:val="Standardnpsmoodstavce"/>
    <w:link w:val="Zpat"/>
    <w:uiPriority w:val="99"/>
    <w:rsid w:val="006C1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654</Words>
  <Characters>3861</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Ministerstvo životního prostředí ČR</Company>
  <LinksUpToDate>false</LinksUpToDate>
  <CharactersWithSpaces>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2013-04-25T08:38:00Z</dcterms:created>
  <dcterms:modified xsi:type="dcterms:W3CDTF">2013-04-25T08:43:00Z</dcterms:modified>
</cp:coreProperties>
</file>