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</w:t>
      </w:r>
      <w:r w:rsidR="00EF6EE2">
        <w:rPr>
          <w:rFonts w:ascii="Arial" w:hAnsi="Arial" w:cs="Arial"/>
        </w:rPr>
        <w:t>uzlové lesnické</w:t>
      </w:r>
      <w:r w:rsidR="00AC619A">
        <w:rPr>
          <w:rFonts w:ascii="Arial" w:hAnsi="Arial" w:cs="Arial"/>
        </w:rPr>
        <w:t xml:space="preserve"> pletivo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AC6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01.04.2016 a konečný </w:t>
      </w:r>
      <w:r w:rsidR="00AC619A">
        <w:rPr>
          <w:rFonts w:ascii="Arial" w:hAnsi="Arial" w:cs="Arial"/>
        </w:rPr>
        <w:t>29.04.2016</w:t>
      </w:r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smlouvu i písemnou výpovědí bez udání důvodu v </w:t>
      </w:r>
      <w:bookmarkStart w:id="0" w:name="_GoBack"/>
      <w:bookmarkEnd w:id="0"/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12" w:rsidRDefault="00013812" w:rsidP="009D4987">
      <w:pPr>
        <w:spacing w:after="0" w:line="240" w:lineRule="auto"/>
      </w:pPr>
      <w:r>
        <w:separator/>
      </w:r>
    </w:p>
  </w:endnote>
  <w:endnote w:type="continuationSeparator" w:id="0">
    <w:p w:rsidR="00013812" w:rsidRDefault="00013812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857831">
          <w:rPr>
            <w:rFonts w:ascii="Arial" w:hAnsi="Arial" w:cs="Arial"/>
            <w:noProof/>
            <w:sz w:val="18"/>
            <w:szCs w:val="18"/>
          </w:rPr>
          <w:t>3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12" w:rsidRDefault="00013812" w:rsidP="009D4987">
      <w:pPr>
        <w:spacing w:after="0" w:line="240" w:lineRule="auto"/>
      </w:pPr>
      <w:r>
        <w:separator/>
      </w:r>
    </w:p>
  </w:footnote>
  <w:footnote w:type="continuationSeparator" w:id="0">
    <w:p w:rsidR="00013812" w:rsidRDefault="00013812" w:rsidP="009D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13812"/>
    <w:rsid w:val="00087289"/>
    <w:rsid w:val="000B16A3"/>
    <w:rsid w:val="0014279C"/>
    <w:rsid w:val="00170511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68466B"/>
    <w:rsid w:val="0068750B"/>
    <w:rsid w:val="00697658"/>
    <w:rsid w:val="006F0FC0"/>
    <w:rsid w:val="00784994"/>
    <w:rsid w:val="00802611"/>
    <w:rsid w:val="00814403"/>
    <w:rsid w:val="00857831"/>
    <w:rsid w:val="00956B3A"/>
    <w:rsid w:val="00972409"/>
    <w:rsid w:val="009942C2"/>
    <w:rsid w:val="009D4987"/>
    <w:rsid w:val="00AC1303"/>
    <w:rsid w:val="00AC619A"/>
    <w:rsid w:val="00B32E69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EF6EE2"/>
    <w:rsid w:val="00F11CF8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232C0-F5B4-49B9-BAC4-042CE48D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752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Kynčlová Kateřina</cp:lastModifiedBy>
  <cp:revision>6</cp:revision>
  <cp:lastPrinted>2016-02-10T12:27:00Z</cp:lastPrinted>
  <dcterms:created xsi:type="dcterms:W3CDTF">2016-02-08T13:05:00Z</dcterms:created>
  <dcterms:modified xsi:type="dcterms:W3CDTF">2016-02-10T12:27:00Z</dcterms:modified>
</cp:coreProperties>
</file>